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529E7" w:rsidR="009529E7" w:rsidRDefault="009529E7" w14:paraId="6688EBF5" w14:textId="1CDD6A9C">
      <w:pPr>
        <w:rPr>
          <w:b/>
          <w:bCs/>
          <w:sz w:val="24"/>
          <w:szCs w:val="24"/>
        </w:rPr>
      </w:pPr>
      <w:r w:rsidRPr="009529E7">
        <w:rPr>
          <w:b/>
          <w:bCs/>
          <w:sz w:val="24"/>
          <w:szCs w:val="24"/>
        </w:rPr>
        <w:t>Covered C</w:t>
      </w:r>
      <w:r w:rsidR="0050073C">
        <w:rPr>
          <w:b/>
          <w:bCs/>
          <w:sz w:val="24"/>
          <w:szCs w:val="24"/>
        </w:rPr>
        <w:t>alifornia Healthcare Evidence Initiative</w:t>
      </w:r>
      <w:r w:rsidRPr="009529E7">
        <w:rPr>
          <w:b/>
          <w:bCs/>
          <w:sz w:val="24"/>
          <w:szCs w:val="24"/>
        </w:rPr>
        <w:t xml:space="preserve"> </w:t>
      </w:r>
      <w:r w:rsidR="0050073C">
        <w:rPr>
          <w:b/>
          <w:bCs/>
          <w:sz w:val="24"/>
          <w:szCs w:val="24"/>
        </w:rPr>
        <w:t>(</w:t>
      </w:r>
      <w:r w:rsidRPr="009529E7">
        <w:rPr>
          <w:b/>
          <w:bCs/>
          <w:sz w:val="24"/>
          <w:szCs w:val="24"/>
        </w:rPr>
        <w:t>HEI</w:t>
      </w:r>
      <w:r w:rsidR="0050073C">
        <w:rPr>
          <w:b/>
          <w:bCs/>
          <w:sz w:val="24"/>
          <w:szCs w:val="24"/>
        </w:rPr>
        <w:t>) 3.0</w:t>
      </w:r>
      <w:r>
        <w:rPr>
          <w:b/>
          <w:bCs/>
          <w:sz w:val="24"/>
          <w:szCs w:val="24"/>
        </w:rPr>
        <w:t xml:space="preserve"> – Use Case Requirements</w:t>
      </w:r>
    </w:p>
    <w:p w:rsidR="009529E7" w:rsidRDefault="009529E7" w14:paraId="0A46363C" w14:textId="4863ADF3">
      <w:r w:rsidRPr="009529E7">
        <w:rPr>
          <w:u w:val="single"/>
        </w:rPr>
        <w:t>Use Case ID</w:t>
      </w:r>
      <w:r>
        <w:t>:</w:t>
      </w:r>
      <w:r>
        <w:tab/>
      </w:r>
      <w:r w:rsidR="00297004">
        <w:t>PMD A</w:t>
      </w:r>
      <w:r w:rsidR="00EB576D">
        <w:t>2</w:t>
      </w:r>
    </w:p>
    <w:p w:rsidR="004A4BB1" w:rsidRDefault="009529E7" w14:paraId="00E36E6D" w14:textId="568CC2B4">
      <w:pPr>
        <w:rPr>
          <w:u w:val="single"/>
        </w:rPr>
      </w:pPr>
      <w:r w:rsidRPr="009529E7">
        <w:rPr>
          <w:u w:val="single"/>
        </w:rPr>
        <w:t>Title</w:t>
      </w:r>
      <w:r w:rsidR="00116FAD">
        <w:t>:</w:t>
      </w:r>
      <w:r w:rsidR="00116FAD">
        <w:tab/>
      </w:r>
      <w:r w:rsidR="00116FAD">
        <w:tab/>
      </w:r>
      <w:r w:rsidR="00EB576D">
        <w:rPr>
          <w:rStyle w:val="ui-provider"/>
        </w:rPr>
        <w:t>Pharmacy Analytics</w:t>
      </w:r>
    </w:p>
    <w:p w:rsidR="009529E7" w:rsidP="0050073C" w:rsidRDefault="009529E7" w14:paraId="6D75D1AD" w14:textId="7DB46BF8">
      <w:pPr>
        <w:keepNext/>
        <w:spacing w:before="240" w:after="120" w:line="240" w:lineRule="auto"/>
        <w:rPr>
          <w:u w:val="single"/>
        </w:rPr>
      </w:pPr>
      <w:r w:rsidRPr="009529E7">
        <w:rPr>
          <w:u w:val="single"/>
        </w:rPr>
        <w:t>Description &amp; Business Use Case</w:t>
      </w:r>
    </w:p>
    <w:p w:rsidR="00117EB8" w:rsidP="0050073C" w:rsidRDefault="00111A82" w14:paraId="373820A8" w14:textId="0EC0F6AF">
      <w:pPr>
        <w:spacing w:before="120" w:after="120" w:line="240" w:lineRule="auto"/>
      </w:pPr>
      <w:r>
        <w:t xml:space="preserve">The </w:t>
      </w:r>
      <w:r w:rsidR="00D236EE">
        <w:t xml:space="preserve">U.S. </w:t>
      </w:r>
      <w:r w:rsidR="00020D43">
        <w:t xml:space="preserve">prescription </w:t>
      </w:r>
      <w:r w:rsidR="00D7203C">
        <w:t>drug</w:t>
      </w:r>
      <w:r w:rsidR="00183680">
        <w:t xml:space="preserve"> market</w:t>
      </w:r>
      <w:r w:rsidR="00D236EE">
        <w:t>’s costs and complexities</w:t>
      </w:r>
      <w:r w:rsidR="00516821">
        <w:t xml:space="preserve">, </w:t>
      </w:r>
      <w:r w:rsidR="00075C5C">
        <w:t xml:space="preserve">and how they have </w:t>
      </w:r>
      <w:r w:rsidR="000F5785">
        <w:t>challenged</w:t>
      </w:r>
      <w:r w:rsidR="00DC7760">
        <w:t xml:space="preserve"> </w:t>
      </w:r>
      <w:r w:rsidR="00D7203C">
        <w:t>health plans, policy</w:t>
      </w:r>
      <w:r w:rsidR="006C505C">
        <w:t>makers</w:t>
      </w:r>
      <w:r w:rsidR="00E51869">
        <w:t>,</w:t>
      </w:r>
      <w:r w:rsidR="00D1306B">
        <w:t xml:space="preserve"> </w:t>
      </w:r>
      <w:r w:rsidR="00075C5C">
        <w:t xml:space="preserve">and </w:t>
      </w:r>
      <w:r w:rsidR="00472E42">
        <w:t>consume</w:t>
      </w:r>
      <w:r w:rsidR="00516821">
        <w:t xml:space="preserve">rs alike, </w:t>
      </w:r>
      <w:r w:rsidR="00472E42">
        <w:t>have been well chronicled.</w:t>
      </w:r>
      <w:r w:rsidR="00841C80">
        <w:t xml:space="preserve">  </w:t>
      </w:r>
      <w:r w:rsidR="00794656">
        <w:t xml:space="preserve">A </w:t>
      </w:r>
      <w:r w:rsidR="00DB07F7">
        <w:t>2023</w:t>
      </w:r>
      <w:r w:rsidR="00794656">
        <w:t xml:space="preserve"> </w:t>
      </w:r>
      <w:r w:rsidR="00E51869">
        <w:t>Kaiser Family Foundation (</w:t>
      </w:r>
      <w:r w:rsidR="00794656">
        <w:t>KFF</w:t>
      </w:r>
      <w:r w:rsidR="00E51869">
        <w:t>)</w:t>
      </w:r>
      <w:r w:rsidR="00794656">
        <w:t xml:space="preserve"> poll found that 1 in 4 adults </w:t>
      </w:r>
      <w:r w:rsidR="00387800">
        <w:t xml:space="preserve">taking prescriptions </w:t>
      </w:r>
      <w:r w:rsidR="003D47DF">
        <w:t xml:space="preserve">had </w:t>
      </w:r>
      <w:r w:rsidR="00B30887">
        <w:t xml:space="preserve">difficulty affording medication, including 40% of those with </w:t>
      </w:r>
      <w:r w:rsidR="00242A20">
        <w:t>household incomes of less than $40,000 per year</w:t>
      </w:r>
      <w:r w:rsidR="00E51869">
        <w:rPr>
          <w:rStyle w:val="FootnoteReference"/>
        </w:rPr>
        <w:footnoteReference w:id="1"/>
      </w:r>
      <w:r w:rsidR="00242A20">
        <w:t>.</w:t>
      </w:r>
    </w:p>
    <w:p w:rsidR="007443FE" w:rsidP="0050073C" w:rsidRDefault="00D236EE" w14:paraId="73758D8D" w14:textId="705EC5B7">
      <w:pPr>
        <w:spacing w:before="120" w:after="120" w:line="240" w:lineRule="auto"/>
      </w:pPr>
      <w:r>
        <w:t>T</w:t>
      </w:r>
      <w:r w:rsidR="00E9594E">
        <w:t xml:space="preserve">hese </w:t>
      </w:r>
      <w:r w:rsidR="00E6219B">
        <w:t>challenges</w:t>
      </w:r>
      <w:r w:rsidR="00A235FB">
        <w:t xml:space="preserve"> can be </w:t>
      </w:r>
      <w:r w:rsidR="00E6219B">
        <w:t xml:space="preserve">particularly difficult for </w:t>
      </w:r>
      <w:r>
        <w:t>Covered California</w:t>
      </w:r>
      <w:r w:rsidR="003646C7">
        <w:t xml:space="preserve"> </w:t>
      </w:r>
      <w:r w:rsidR="00651BCF">
        <w:t>enrollees</w:t>
      </w:r>
      <w:r w:rsidR="00E6219B">
        <w:t>.</w:t>
      </w:r>
      <w:r w:rsidR="00117EB8">
        <w:t xml:space="preserve">  </w:t>
      </w:r>
      <w:r w:rsidR="000559D0">
        <w:t>O</w:t>
      </w:r>
      <w:r w:rsidR="000F3CA1">
        <w:t>ur members</w:t>
      </w:r>
      <w:r w:rsidR="00B85961">
        <w:t xml:space="preserve">hip </w:t>
      </w:r>
      <w:r w:rsidR="004B2E38">
        <w:t xml:space="preserve">has a high </w:t>
      </w:r>
      <w:r>
        <w:t xml:space="preserve">“churn” </w:t>
      </w:r>
      <w:r w:rsidR="004B2E38">
        <w:t>rate</w:t>
      </w:r>
      <w:r w:rsidR="00022CBE">
        <w:t>,</w:t>
      </w:r>
      <w:r w:rsidR="003F5AA6">
        <w:t xml:space="preserve"> as individuals cycle in and out based on changes in their Medi</w:t>
      </w:r>
      <w:r w:rsidR="00D3783B">
        <w:t xml:space="preserve">-Cal </w:t>
      </w:r>
      <w:r w:rsidR="00356A0C">
        <w:t xml:space="preserve">and employer-based coverage </w:t>
      </w:r>
      <w:r w:rsidR="00D3783B">
        <w:t>eligibility</w:t>
      </w:r>
      <w:r w:rsidR="00356A0C">
        <w:t xml:space="preserve"> and</w:t>
      </w:r>
      <w:r w:rsidR="00887E7C">
        <w:t xml:space="preserve"> insured status</w:t>
      </w:r>
      <w:r w:rsidR="00D3783B">
        <w:t>.</w:t>
      </w:r>
      <w:r w:rsidR="005C2612">
        <w:t xml:space="preserve">  </w:t>
      </w:r>
      <w:r>
        <w:t>Covered California’s own r</w:t>
      </w:r>
      <w:r w:rsidR="005C2612">
        <w:t xml:space="preserve">esearch </w:t>
      </w:r>
      <w:r w:rsidR="00D0177A">
        <w:t xml:space="preserve">shows </w:t>
      </w:r>
      <w:r w:rsidR="00D86DAD">
        <w:t xml:space="preserve">a </w:t>
      </w:r>
      <w:r w:rsidR="00D0177A">
        <w:t xml:space="preserve">median coverage period of 14 months, </w:t>
      </w:r>
      <w:r w:rsidR="00047A91">
        <w:t xml:space="preserve">with as </w:t>
      </w:r>
      <w:r w:rsidR="004334B0">
        <w:t>many</w:t>
      </w:r>
      <w:r w:rsidR="00047A91">
        <w:t xml:space="preserve"> as a third of members terminating coverage within a year</w:t>
      </w:r>
      <w:r>
        <w:rPr>
          <w:rStyle w:val="FootnoteReference"/>
        </w:rPr>
        <w:footnoteReference w:id="2"/>
      </w:r>
      <w:r w:rsidR="007443FE">
        <w:t>.</w:t>
      </w:r>
    </w:p>
    <w:p w:rsidR="00CD3BB1" w:rsidP="0050073C" w:rsidRDefault="00C83B0E" w14:paraId="2AAB00E2" w14:textId="653A1DF9">
      <w:pPr>
        <w:spacing w:before="120" w:after="120" w:line="240" w:lineRule="auto"/>
      </w:pPr>
      <w:r>
        <w:t>In addition to being more transient, o</w:t>
      </w:r>
      <w:r w:rsidR="00EE558E">
        <w:t>ur members</w:t>
      </w:r>
      <w:r w:rsidR="00E04B9B">
        <w:t>hip also skew</w:t>
      </w:r>
      <w:r w:rsidR="00F245F7">
        <w:t>s</w:t>
      </w:r>
      <w:r w:rsidR="00E04B9B">
        <w:t xml:space="preserve"> lower income</w:t>
      </w:r>
      <w:r w:rsidR="00476BFA">
        <w:t xml:space="preserve"> – over 80% are below 400% of the Federal Poverty Line</w:t>
      </w:r>
      <w:r w:rsidR="00417A4F">
        <w:t xml:space="preserve"> (FPL)</w:t>
      </w:r>
      <w:r w:rsidR="00F04784">
        <w:t xml:space="preserve">, and </w:t>
      </w:r>
      <w:r w:rsidR="00890B5D">
        <w:t>well over 50% are below 250%</w:t>
      </w:r>
      <w:r w:rsidR="001F2DDB">
        <w:t xml:space="preserve"> (</w:t>
      </w:r>
      <w:r w:rsidR="00CE1E55">
        <w:t>roughly $36,000 for a single person household)</w:t>
      </w:r>
      <w:r w:rsidR="00890B5D">
        <w:t xml:space="preserve">.  </w:t>
      </w:r>
      <w:r w:rsidR="009D471F">
        <w:t xml:space="preserve">While our </w:t>
      </w:r>
      <w:r w:rsidR="005B6BC3">
        <w:t>E</w:t>
      </w:r>
      <w:r w:rsidR="009D471F">
        <w:t xml:space="preserve">nhanced </w:t>
      </w:r>
      <w:r w:rsidR="005B6BC3">
        <w:t>S</w:t>
      </w:r>
      <w:r w:rsidR="009D471F">
        <w:t xml:space="preserve">ilver </w:t>
      </w:r>
      <w:r w:rsidR="005B6BC3">
        <w:t>P</w:t>
      </w:r>
      <w:r w:rsidR="009D471F">
        <w:t xml:space="preserve">lans </w:t>
      </w:r>
      <w:r w:rsidR="00A83ADE">
        <w:t xml:space="preserve">do </w:t>
      </w:r>
      <w:r w:rsidR="00AD4AA7">
        <w:t xml:space="preserve">provide </w:t>
      </w:r>
      <w:r w:rsidR="00460F67">
        <w:t xml:space="preserve">those </w:t>
      </w:r>
      <w:r w:rsidR="005B01DE">
        <w:t xml:space="preserve">below </w:t>
      </w:r>
      <w:r w:rsidR="00DB4462">
        <w:t>250</w:t>
      </w:r>
      <w:r w:rsidR="005B01DE">
        <w:t xml:space="preserve">% </w:t>
      </w:r>
      <w:r w:rsidR="00175B71">
        <w:t xml:space="preserve">with some financial </w:t>
      </w:r>
      <w:r w:rsidR="00A83ADE">
        <w:t>relief</w:t>
      </w:r>
      <w:r w:rsidR="00FB58AB">
        <w:t xml:space="preserve"> </w:t>
      </w:r>
      <w:r w:rsidR="008F0B27">
        <w:t xml:space="preserve">with lower copays and </w:t>
      </w:r>
      <w:r w:rsidR="005B6BC3">
        <w:t>no or very low pharmacy deductibles</w:t>
      </w:r>
      <w:r w:rsidR="00175B71">
        <w:t xml:space="preserve">, </w:t>
      </w:r>
      <w:r w:rsidR="002E42A4">
        <w:t xml:space="preserve">affordability issues can persist </w:t>
      </w:r>
      <w:r w:rsidR="00354CBC">
        <w:t>for many with chronic conditions</w:t>
      </w:r>
      <w:r>
        <w:t>.</w:t>
      </w:r>
    </w:p>
    <w:p w:rsidR="00F45DD2" w:rsidP="0050073C" w:rsidRDefault="00356A0C" w14:paraId="01506065" w14:textId="49C86640">
      <w:pPr>
        <w:spacing w:before="120" w:after="120" w:line="240" w:lineRule="auto"/>
      </w:pPr>
      <w:r>
        <w:t>Individual market p</w:t>
      </w:r>
      <w:r w:rsidR="00CD0DC4">
        <w:t xml:space="preserve">harmacy benefits revolve around </w:t>
      </w:r>
      <w:r w:rsidR="00AD1393">
        <w:t>Affordable Care Act (</w:t>
      </w:r>
      <w:r>
        <w:t>ACA</w:t>
      </w:r>
      <w:r w:rsidR="00AD1393">
        <w:t>)</w:t>
      </w:r>
      <w:r w:rsidR="00CD0DC4">
        <w:t xml:space="preserve"> pharmacy copay tiers, which </w:t>
      </w:r>
      <w:r w:rsidR="0071442E">
        <w:t>divide drug prescriptions into five distinct categories (ACA preventive medication, brand formulary and non-formulary, generic, and specialty drug)</w:t>
      </w:r>
      <w:r w:rsidR="00CD0DC4">
        <w:t xml:space="preserve">.  Each </w:t>
      </w:r>
      <w:r>
        <w:t>National Drug Code</w:t>
      </w:r>
      <w:r w:rsidR="00313D18">
        <w:t xml:space="preserve"> (NDC</w:t>
      </w:r>
      <w:r w:rsidR="00233D45">
        <w:t xml:space="preserve">) is placed </w:t>
      </w:r>
      <w:r w:rsidR="00AD1393">
        <w:t>i</w:t>
      </w:r>
      <w:r w:rsidR="00233D45">
        <w:t>n a</w:t>
      </w:r>
      <w:r w:rsidR="00CD0DC4">
        <w:t xml:space="preserve"> specific tier</w:t>
      </w:r>
      <w:r w:rsidR="00AD1393">
        <w:t xml:space="preserve"> – and</w:t>
      </w:r>
      <w:r w:rsidR="00CD0DC4">
        <w:t xml:space="preserve"> hence subject to a specific member copay</w:t>
      </w:r>
      <w:r w:rsidR="00AD1393">
        <w:t xml:space="preserve"> – based on </w:t>
      </w:r>
      <w:r w:rsidR="00CD0DC4">
        <w:t>a health plan’s specific formulary (aside from the $0 copay drugs).</w:t>
      </w:r>
      <w:r w:rsidR="00F45DD2">
        <w:t xml:space="preserve">  Depending on the </w:t>
      </w:r>
      <w:r w:rsidR="00AD1393">
        <w:t>Qualified Health Plan’s (</w:t>
      </w:r>
      <w:r w:rsidR="00FE2696">
        <w:t>QHP’s</w:t>
      </w:r>
      <w:r w:rsidR="00AD1393">
        <w:t>)</w:t>
      </w:r>
      <w:r w:rsidR="00FE2696">
        <w:t xml:space="preserve"> formulary, </w:t>
      </w:r>
      <w:r w:rsidR="00A44B50">
        <w:t xml:space="preserve">the member’s </w:t>
      </w:r>
      <w:r w:rsidR="00FE2696">
        <w:t>coverage level (Bronze, Silver, etc.)</w:t>
      </w:r>
      <w:r w:rsidR="00AD1393">
        <w:t>,</w:t>
      </w:r>
      <w:r w:rsidR="00FE2696">
        <w:t xml:space="preserve"> and an ind</w:t>
      </w:r>
      <w:r w:rsidR="00930233">
        <w:t>ividual</w:t>
      </w:r>
      <w:r w:rsidR="00A44B50">
        <w:t>’</w:t>
      </w:r>
      <w:r w:rsidR="00930233">
        <w:t xml:space="preserve">s specific medication needs, </w:t>
      </w:r>
      <w:r w:rsidR="00E109C6">
        <w:t xml:space="preserve">member </w:t>
      </w:r>
      <w:r w:rsidR="00AD1393">
        <w:t>out-of-pocket</w:t>
      </w:r>
      <w:r w:rsidR="00E109C6">
        <w:t xml:space="preserve"> costs can be difficult to track and </w:t>
      </w:r>
      <w:r w:rsidR="00AD1393">
        <w:t xml:space="preserve">may </w:t>
      </w:r>
      <w:r w:rsidR="00E109C6">
        <w:t>vary widely.</w:t>
      </w:r>
    </w:p>
    <w:p w:rsidR="00021B08" w:rsidP="0050073C" w:rsidRDefault="00006AFF" w14:paraId="12AA7AA7" w14:textId="52CCBF1E">
      <w:pPr>
        <w:spacing w:before="120" w:after="120" w:line="240" w:lineRule="auto"/>
      </w:pPr>
      <w:r>
        <w:t>Because t</w:t>
      </w:r>
      <w:r w:rsidR="00DA6DE9">
        <w:t xml:space="preserve">hese and other </w:t>
      </w:r>
      <w:r w:rsidR="00857F5E">
        <w:t xml:space="preserve">factors can </w:t>
      </w:r>
      <w:r w:rsidR="006B1DC0">
        <w:t>make</w:t>
      </w:r>
      <w:r w:rsidR="00BF2834">
        <w:t xml:space="preserve"> prescription drug coverage </w:t>
      </w:r>
      <w:r w:rsidR="002413C5">
        <w:t xml:space="preserve">especially </w:t>
      </w:r>
      <w:r w:rsidR="00191095">
        <w:t>difficult</w:t>
      </w:r>
      <w:r w:rsidR="00BF2834">
        <w:t xml:space="preserve"> </w:t>
      </w:r>
      <w:r w:rsidR="00DA67D3">
        <w:t xml:space="preserve">to afford and navigate </w:t>
      </w:r>
      <w:r w:rsidR="00BF2834">
        <w:t xml:space="preserve">for </w:t>
      </w:r>
      <w:r w:rsidR="00DA67D3">
        <w:t xml:space="preserve">our </w:t>
      </w:r>
      <w:r w:rsidR="00BF2834">
        <w:t>members</w:t>
      </w:r>
      <w:r w:rsidR="00380A4D">
        <w:t>,</w:t>
      </w:r>
      <w:r w:rsidR="005C7CB0">
        <w:t xml:space="preserve"> </w:t>
      </w:r>
      <w:r w:rsidR="00672184">
        <w:t>Covered C</w:t>
      </w:r>
      <w:r w:rsidR="00AD1393">
        <w:t>alifornia</w:t>
      </w:r>
      <w:r w:rsidR="00672184">
        <w:t xml:space="preserve"> </w:t>
      </w:r>
      <w:r w:rsidR="00AD1393">
        <w:t>must have</w:t>
      </w:r>
      <w:r w:rsidR="00672184">
        <w:t xml:space="preserve"> direct </w:t>
      </w:r>
      <w:r w:rsidR="00892FBF">
        <w:t>access t</w:t>
      </w:r>
      <w:r w:rsidR="000F4DA9">
        <w:t xml:space="preserve">o detailed pharmacy data to </w:t>
      </w:r>
      <w:r w:rsidR="001810AB">
        <w:t>closely analyze</w:t>
      </w:r>
      <w:r w:rsidR="0006225D">
        <w:t>/</w:t>
      </w:r>
      <w:r w:rsidR="001810AB">
        <w:t xml:space="preserve">monitor our members’ </w:t>
      </w:r>
      <w:r w:rsidR="005B1F21">
        <w:t>pharmacy usage</w:t>
      </w:r>
      <w:r w:rsidR="00CB44C4">
        <w:t>.</w:t>
      </w:r>
      <w:r w:rsidR="00021B08">
        <w:t xml:space="preserve">  Proposer must ensure that:</w:t>
      </w:r>
    </w:p>
    <w:p w:rsidR="00213A9F" w:rsidP="00213A9F" w:rsidRDefault="00213A9F" w14:paraId="7B9C6786" w14:textId="438A4755">
      <w:pPr>
        <w:pStyle w:val="ListParagraph"/>
        <w:numPr>
          <w:ilvl w:val="0"/>
          <w:numId w:val="8"/>
        </w:numPr>
        <w:spacing w:before="120" w:after="120" w:line="240" w:lineRule="auto"/>
        <w:ind w:left="778"/>
        <w:contextualSpacing w:val="0"/>
      </w:pPr>
      <w:r>
        <w:t>QHP Issuers continue to submit on- and off-Exchange, individual and small group market drug claims, including all required detail, to HEI 3.0 monthly;</w:t>
      </w:r>
    </w:p>
    <w:p w:rsidR="00213A9F" w:rsidP="00213A9F" w:rsidRDefault="00021B08" w14:paraId="77FD6CFC" w14:textId="1E068802">
      <w:pPr>
        <w:pStyle w:val="ListParagraph"/>
        <w:numPr>
          <w:ilvl w:val="0"/>
          <w:numId w:val="8"/>
        </w:numPr>
        <w:spacing w:before="120" w:after="120" w:line="240" w:lineRule="auto"/>
        <w:ind w:left="778"/>
        <w:contextualSpacing w:val="0"/>
      </w:pPr>
      <w:r>
        <w:t xml:space="preserve">QHP Issuers’ pharmacy claim submissions </w:t>
      </w:r>
      <w:r w:rsidR="00213A9F">
        <w:t xml:space="preserve">contain </w:t>
      </w:r>
      <w:r>
        <w:t>all drug claims, including those related to members’ mental health and substance use disorder diagnoses</w:t>
      </w:r>
      <w:r w:rsidR="00213A9F">
        <w:t>;</w:t>
      </w:r>
    </w:p>
    <w:p w:rsidR="00892FBF" w:rsidP="00213A9F" w:rsidRDefault="00213A9F" w14:paraId="143521F0" w14:textId="24C44FDD">
      <w:pPr>
        <w:pStyle w:val="ListParagraph"/>
        <w:numPr>
          <w:ilvl w:val="0"/>
          <w:numId w:val="8"/>
        </w:numPr>
        <w:spacing w:before="120" w:after="120" w:line="240" w:lineRule="auto"/>
        <w:ind w:left="778"/>
        <w:contextualSpacing w:val="0"/>
      </w:pPr>
      <w:r>
        <w:t>It associates d</w:t>
      </w:r>
      <w:r w:rsidR="00021B08">
        <w:t xml:space="preserve">rugs on pharmacy claims </w:t>
      </w:r>
      <w:r>
        <w:t>with corresponding</w:t>
      </w:r>
      <w:r w:rsidR="00021B08">
        <w:t xml:space="preserve"> therapeutic class</w:t>
      </w:r>
      <w:r>
        <w:t>es, enabling analysis and reporting</w:t>
      </w:r>
      <w:r w:rsidR="00021B08">
        <w:t xml:space="preserve"> at that level</w:t>
      </w:r>
      <w:r>
        <w:t>;</w:t>
      </w:r>
    </w:p>
    <w:p w:rsidR="00213A9F" w:rsidP="00213A9F" w:rsidRDefault="00213A9F" w14:paraId="51EB12AA" w14:textId="363F5FE5">
      <w:pPr>
        <w:pStyle w:val="ListParagraph"/>
        <w:numPr>
          <w:ilvl w:val="0"/>
          <w:numId w:val="8"/>
        </w:numPr>
        <w:spacing w:before="120" w:after="120" w:line="240" w:lineRule="auto"/>
        <w:ind w:left="778"/>
        <w:contextualSpacing w:val="0"/>
      </w:pPr>
      <w:r>
        <w:lastRenderedPageBreak/>
        <w:t>It identifies generic alternative(s) and calculates generic penetration / efficiency rates; and</w:t>
      </w:r>
    </w:p>
    <w:p w:rsidR="00213A9F" w:rsidP="00213A9F" w:rsidRDefault="00213A9F" w14:paraId="594A8904" w14:textId="391B0FBB">
      <w:pPr>
        <w:pStyle w:val="ListParagraph"/>
        <w:numPr>
          <w:ilvl w:val="0"/>
          <w:numId w:val="8"/>
        </w:numPr>
        <w:spacing w:before="120" w:after="120" w:line="240" w:lineRule="auto"/>
        <w:ind w:left="778"/>
        <w:contextualSpacing w:val="0"/>
      </w:pPr>
      <w:r>
        <w:t>It derives morphine milligram equivalent (MME)</w:t>
      </w:r>
      <w:r w:rsidR="00967F8D">
        <w:t xml:space="preserve"> for opioid prescriptions</w:t>
      </w:r>
      <w:r>
        <w:t>.</w:t>
      </w:r>
    </w:p>
    <w:p w:rsidR="00FD1FAC" w:rsidP="0071442E" w:rsidRDefault="00006AFF" w14:paraId="373E7ABD" w14:textId="587D25B2">
      <w:pPr>
        <w:keepNext/>
        <w:spacing w:before="240" w:after="120" w:line="240" w:lineRule="auto"/>
      </w:pPr>
      <w:r>
        <w:t xml:space="preserve">Other major uses of pharmacy data in our current HEI </w:t>
      </w:r>
      <w:r w:rsidR="00AD1393">
        <w:t xml:space="preserve">2.0 </w:t>
      </w:r>
      <w:r>
        <w:t xml:space="preserve">sourced work </w:t>
      </w:r>
      <w:r w:rsidR="00FF2A85">
        <w:t>include</w:t>
      </w:r>
      <w:r w:rsidR="00FD1FAC">
        <w:t>:</w:t>
      </w:r>
    </w:p>
    <w:p w:rsidR="00CB44C4" w:rsidP="0050073C" w:rsidRDefault="00FD1FAC" w14:paraId="71512EB5" w14:textId="39E7E23E">
      <w:pPr>
        <w:pStyle w:val="ListParagraph"/>
        <w:numPr>
          <w:ilvl w:val="0"/>
          <w:numId w:val="7"/>
        </w:numPr>
        <w:spacing w:before="120" w:after="120" w:line="240" w:lineRule="auto"/>
        <w:contextualSpacing w:val="0"/>
      </w:pPr>
      <w:r>
        <w:t>V</w:t>
      </w:r>
      <w:r w:rsidR="00FF2A85">
        <w:t>arious measur</w:t>
      </w:r>
      <w:r w:rsidR="006A0E5A">
        <w:t>es related to adherence</w:t>
      </w:r>
      <w:r w:rsidR="00B261ED">
        <w:t xml:space="preserve"> and appropriate </w:t>
      </w:r>
      <w:r w:rsidR="00B257CA">
        <w:t xml:space="preserve">use </w:t>
      </w:r>
      <w:r>
        <w:t xml:space="preserve">overseen by the Pharmacy Quality </w:t>
      </w:r>
      <w:r w:rsidR="00B257CA">
        <w:t xml:space="preserve">Alliance.  </w:t>
      </w:r>
      <w:r w:rsidR="00984C84">
        <w:t xml:space="preserve">Many of these measures are or may be included in our </w:t>
      </w:r>
      <w:r w:rsidR="00AD1393">
        <w:t xml:space="preserve">Equity, Quality &amp; Transformation (EQT) Division’s </w:t>
      </w:r>
      <w:r w:rsidR="00984C84">
        <w:t>Plan Performance Report</w:t>
      </w:r>
      <w:r w:rsidR="00AD1393">
        <w:rPr>
          <w:rStyle w:val="FootnoteReference"/>
        </w:rPr>
        <w:footnoteReference w:id="3"/>
      </w:r>
      <w:r w:rsidR="00C5231A">
        <w:t xml:space="preserve"> or Quality Transformation Initiative</w:t>
      </w:r>
      <w:r w:rsidR="009B794A">
        <w:rPr>
          <w:rStyle w:val="FootnoteReference"/>
        </w:rPr>
        <w:footnoteReference w:id="4"/>
      </w:r>
      <w:r w:rsidR="001E581F">
        <w:t>.</w:t>
      </w:r>
    </w:p>
    <w:p w:rsidR="001E581F" w:rsidP="0050073C" w:rsidRDefault="001E581F" w14:paraId="7C6F5528" w14:textId="7578F6C3">
      <w:pPr>
        <w:pStyle w:val="ListParagraph"/>
        <w:numPr>
          <w:ilvl w:val="0"/>
          <w:numId w:val="7"/>
        </w:numPr>
        <w:spacing w:before="120" w:after="120" w:line="240" w:lineRule="auto"/>
        <w:contextualSpacing w:val="0"/>
      </w:pPr>
      <w:r>
        <w:t xml:space="preserve">Monitoring </w:t>
      </w:r>
      <w:r w:rsidR="00495429">
        <w:t xml:space="preserve">and validating the impact of </w:t>
      </w:r>
      <w:r w:rsidR="003530C8">
        <w:t xml:space="preserve">new drugs, price </w:t>
      </w:r>
      <w:r w:rsidR="006267B3">
        <w:t>changes</w:t>
      </w:r>
      <w:r w:rsidR="00495429">
        <w:t xml:space="preserve">, </w:t>
      </w:r>
      <w:r w:rsidR="00AD1393">
        <w:t xml:space="preserve">and </w:t>
      </w:r>
      <w:r w:rsidR="00495429">
        <w:t>utilization and prescribing patterns</w:t>
      </w:r>
      <w:r w:rsidR="00EF11DD">
        <w:t>/trends on health plan costs to ensure premium</w:t>
      </w:r>
      <w:r w:rsidR="00E32EF2">
        <w:t xml:space="preserve"> increases are warranted.</w:t>
      </w:r>
      <w:r w:rsidR="003769FB">
        <w:t xml:space="preserve">  Pharmacy </w:t>
      </w:r>
      <w:r w:rsidR="00596592">
        <w:t>costs represent as much as 20% of total allowed charges for QHPs.</w:t>
      </w:r>
    </w:p>
    <w:p w:rsidR="00E32EF2" w:rsidP="0050073C" w:rsidRDefault="00826E91" w14:paraId="28610CE6" w14:textId="79C04E8E">
      <w:pPr>
        <w:pStyle w:val="ListParagraph"/>
        <w:numPr>
          <w:ilvl w:val="0"/>
          <w:numId w:val="7"/>
        </w:numPr>
        <w:spacing w:before="120" w:after="120" w:line="240" w:lineRule="auto"/>
        <w:contextualSpacing w:val="0"/>
      </w:pPr>
      <w:r>
        <w:t>Estimating</w:t>
      </w:r>
      <w:r w:rsidR="006F0668">
        <w:t xml:space="preserve"> the cost and member impact of </w:t>
      </w:r>
      <w:r w:rsidR="00CE1A09">
        <w:t xml:space="preserve">policies and/or legislation related to </w:t>
      </w:r>
      <w:r w:rsidR="00573144">
        <w:t xml:space="preserve">increasing affordability </w:t>
      </w:r>
      <w:r w:rsidR="00E630E1">
        <w:t>(</w:t>
      </w:r>
      <w:r w:rsidR="009B794A">
        <w:t xml:space="preserve">e.g., </w:t>
      </w:r>
      <w:r w:rsidR="00E630E1">
        <w:t>requiring all QHPs have at least one insulin on Tier 1</w:t>
      </w:r>
      <w:r w:rsidR="0083732F">
        <w:t>/2</w:t>
      </w:r>
      <w:r w:rsidR="001A3025">
        <w:t xml:space="preserve"> </w:t>
      </w:r>
      <w:r w:rsidR="00CE1A09">
        <w:t xml:space="preserve">or </w:t>
      </w:r>
      <w:r w:rsidR="004C7DEF">
        <w:t xml:space="preserve">capping </w:t>
      </w:r>
      <w:r w:rsidR="0083732F">
        <w:t xml:space="preserve">monthly </w:t>
      </w:r>
      <w:r w:rsidR="004B1AC1">
        <w:t>member cost</w:t>
      </w:r>
      <w:r w:rsidR="009B794A">
        <w:t xml:space="preserve">s </w:t>
      </w:r>
      <w:r w:rsidR="00253FDF">
        <w:t xml:space="preserve">for </w:t>
      </w:r>
      <w:r w:rsidR="00007C31">
        <w:t>certain drugs</w:t>
      </w:r>
      <w:r w:rsidR="004B1AC1">
        <w:t>).</w:t>
      </w:r>
    </w:p>
    <w:p w:rsidRPr="0050073C" w:rsidR="002F4892" w:rsidP="0050073C" w:rsidRDefault="009529E7" w14:paraId="015E03DB" w14:textId="387E6EAB">
      <w:pPr>
        <w:keepNext/>
        <w:spacing w:before="240" w:after="120" w:line="240" w:lineRule="auto"/>
        <w:rPr>
          <w:u w:val="single"/>
        </w:rPr>
      </w:pPr>
      <w:r w:rsidRPr="4A28396E">
        <w:rPr>
          <w:u w:val="single"/>
        </w:rPr>
        <w:t>Unit(s) of Analysis</w:t>
      </w:r>
    </w:p>
    <w:p w:rsidR="00967F8D" w:rsidP="00967F8D" w:rsidRDefault="00967F8D" w14:paraId="3D181BB4" w14:textId="04FAB3FE">
      <w:pPr>
        <w:spacing w:before="120" w:after="120" w:line="240" w:lineRule="auto"/>
      </w:pPr>
      <w:r>
        <w:t>Within HEI 3.0 Proposer will link on-Exchange individual market claims / encounters to CalHEERS-supplied member data to obtain individual level member attributes and plan characteristics</w:t>
      </w:r>
      <w:r>
        <w:rPr>
          <w:rStyle w:val="FootnoteReference"/>
        </w:rPr>
        <w:footnoteReference w:id="5"/>
      </w:r>
      <w:r>
        <w:t xml:space="preserve">, after which the Proposer will summarize data </w:t>
      </w:r>
      <w:r>
        <w:t xml:space="preserve">by </w:t>
      </w:r>
      <w:r>
        <w:t>QHP</w:t>
      </w:r>
      <w:r>
        <w:t xml:space="preserve"> Issuer, </w:t>
      </w:r>
      <w:r>
        <w:t>metal tier</w:t>
      </w:r>
      <w:r>
        <w:t>, plan network type, rating region and other member geographies, member race / ethnicity, etc.</w:t>
      </w:r>
    </w:p>
    <w:p w:rsidRPr="009529E7" w:rsidR="009529E7" w:rsidP="0050073C" w:rsidRDefault="009529E7" w14:paraId="181A47D2" w14:textId="3689226F">
      <w:pPr>
        <w:keepNext/>
        <w:spacing w:before="240" w:after="120" w:line="240" w:lineRule="auto"/>
        <w:rPr>
          <w:u w:val="single"/>
        </w:rPr>
      </w:pPr>
      <w:r w:rsidRPr="4A28396E">
        <w:rPr>
          <w:u w:val="single"/>
        </w:rPr>
        <w:t xml:space="preserve">Output from </w:t>
      </w:r>
      <w:r w:rsidR="0050073C">
        <w:rPr>
          <w:u w:val="single"/>
        </w:rPr>
        <w:t>HEI 3.0</w:t>
      </w:r>
    </w:p>
    <w:p w:rsidR="00E51869" w:rsidP="00E51869" w:rsidRDefault="00E51869" w14:paraId="06CF4D28" w14:textId="34070A7E">
      <w:r w:rsidR="00E51869">
        <w:rPr/>
        <w:t>Most analysis can occur within either the HEI 3.0 analytic environment or within Covered California’s own analytic environment(s) based on our receipt of extract files</w:t>
      </w:r>
      <w:r w:rsidR="00E51869">
        <w:rPr/>
        <w:t xml:space="preserve">.  </w:t>
      </w:r>
      <w:r w:rsidR="00E51869">
        <w:rPr/>
        <w:t xml:space="preserve">Output may consist of sequential data or relational database files, MS </w:t>
      </w:r>
      <w:r w:rsidR="00E51869">
        <w:rPr/>
        <w:t>Excel</w:t>
      </w:r>
      <w:r w:rsidR="00E51869">
        <w:rPr/>
        <w:t xml:space="preserve"> or similar files, etc.</w:t>
      </w:r>
    </w:p>
    <w:p w:rsidRPr="009529E7" w:rsidR="009529E7" w:rsidP="0050073C" w:rsidRDefault="009529E7" w14:paraId="6D9EA77F" w14:textId="618B2129">
      <w:pPr>
        <w:keepNext/>
        <w:spacing w:before="240" w:after="120" w:line="240" w:lineRule="auto"/>
        <w:rPr>
          <w:u w:val="single"/>
        </w:rPr>
      </w:pPr>
      <w:r w:rsidRPr="009529E7">
        <w:rPr>
          <w:u w:val="single"/>
        </w:rPr>
        <w:t>H</w:t>
      </w:r>
      <w:r w:rsidR="0050073C">
        <w:rPr>
          <w:u w:val="single"/>
        </w:rPr>
        <w:t>EI 3.0</w:t>
      </w:r>
      <w:r w:rsidRPr="009529E7">
        <w:rPr>
          <w:u w:val="single"/>
        </w:rPr>
        <w:t xml:space="preserve"> Access Mode</w:t>
      </w:r>
    </w:p>
    <w:p w:rsidR="00E51869" w:rsidP="00E51869" w:rsidRDefault="00E51869" w14:paraId="1C2FDD78" w14:textId="77777777">
      <w:r>
        <w:t>Data manipulation / extraction from HEI 3.0 database, with alternatives for the proportion of resulting analysis occurring within either an analytic environment provided by the Proposer for Covered California’s use OR Covered California’s own analytic environment(s).</w:t>
      </w:r>
    </w:p>
    <w:p w:rsidRPr="009529E7" w:rsidR="009529E7" w:rsidP="0050073C" w:rsidRDefault="009529E7" w14:paraId="68F7B378" w14:textId="6C648714">
      <w:pPr>
        <w:keepNext/>
        <w:spacing w:before="240" w:after="120" w:line="240" w:lineRule="auto"/>
        <w:rPr>
          <w:u w:val="single"/>
        </w:rPr>
      </w:pPr>
      <w:r w:rsidRPr="009529E7">
        <w:rPr>
          <w:u w:val="single"/>
        </w:rPr>
        <w:t>Timing/Frequency</w:t>
      </w:r>
    </w:p>
    <w:p w:rsidR="004C2B1C" w:rsidP="0050073C" w:rsidRDefault="00E74E0B" w14:paraId="72AF8B84" w14:textId="4490C20E">
      <w:pPr>
        <w:spacing w:before="120" w:after="120" w:line="240" w:lineRule="auto"/>
      </w:pPr>
      <w:r>
        <w:t>Ongoing with a mixture of ad</w:t>
      </w:r>
      <w:r w:rsidR="00E51869">
        <w:t xml:space="preserve"> </w:t>
      </w:r>
      <w:r>
        <w:t xml:space="preserve">hoc and annual frequency.  </w:t>
      </w:r>
    </w:p>
    <w:p w:rsidRPr="009529E7" w:rsidR="009529E7" w:rsidP="0050073C" w:rsidRDefault="009529E7" w14:paraId="119CFA82" w14:textId="00AFC89B">
      <w:pPr>
        <w:keepNext/>
        <w:spacing w:before="240" w:after="120" w:line="240" w:lineRule="auto"/>
        <w:rPr>
          <w:u w:val="single"/>
        </w:rPr>
      </w:pPr>
      <w:r w:rsidRPr="009529E7">
        <w:rPr>
          <w:u w:val="single"/>
        </w:rPr>
        <w:lastRenderedPageBreak/>
        <w:t>Data Access</w:t>
      </w:r>
    </w:p>
    <w:p w:rsidR="0050073C" w:rsidP="0050073C" w:rsidRDefault="0050073C" w14:paraId="74487112" w14:textId="77777777">
      <w:r>
        <w:t>Access to individual member level data will be limited to only a few designated Proposer and Covered California analysts.  Covered California will provide summary results to QHP Issuers, and the Proposer and QHP Issuers may need to research individual level discrepancies to reconcile results.</w:t>
      </w:r>
    </w:p>
    <w:p w:rsidRPr="00134CE7" w:rsidR="009529E7" w:rsidP="0050073C" w:rsidRDefault="009529E7" w14:paraId="55F78A0F" w14:textId="7813A98D">
      <w:pPr>
        <w:keepNext/>
        <w:spacing w:before="240" w:after="120" w:line="240" w:lineRule="auto"/>
        <w:rPr>
          <w:u w:val="single"/>
        </w:rPr>
      </w:pPr>
      <w:r w:rsidRPr="00134CE7">
        <w:rPr>
          <w:u w:val="single"/>
        </w:rPr>
        <w:t>Data Release</w:t>
      </w:r>
    </w:p>
    <w:p w:rsidR="009529E7" w:rsidP="765AB6CF" w:rsidRDefault="0050073C" w14:paraId="0F2E11E9" w14:textId="3AB83F4C">
      <w:pPr>
        <w:spacing w:before="120" w:after="120" w:line="240" w:lineRule="auto"/>
      </w:pPr>
      <w:r w:rsidR="008645B7">
        <w:rPr/>
        <w:t>Covered California may share s</w:t>
      </w:r>
      <w:r w:rsidR="004936CC">
        <w:rPr/>
        <w:t>ummary</w:t>
      </w:r>
      <w:r w:rsidR="008645B7">
        <w:rPr/>
        <w:t xml:space="preserve"> results – overall </w:t>
      </w:r>
      <w:r w:rsidR="00B53A60">
        <w:rPr/>
        <w:t xml:space="preserve">and by </w:t>
      </w:r>
      <w:r w:rsidR="009434F8">
        <w:rPr/>
        <w:t xml:space="preserve">QHP, </w:t>
      </w:r>
      <w:r w:rsidR="008645B7">
        <w:rPr/>
        <w:t xml:space="preserve">metal </w:t>
      </w:r>
      <w:r w:rsidR="009434F8">
        <w:rPr/>
        <w:t>tier</w:t>
      </w:r>
      <w:r w:rsidR="008645B7">
        <w:rPr/>
        <w:t>, plan network type,</w:t>
      </w:r>
      <w:r w:rsidR="009434F8">
        <w:rPr/>
        <w:t xml:space="preserve"> and similar dimensions</w:t>
      </w:r>
      <w:r w:rsidR="008645B7">
        <w:rPr/>
        <w:t xml:space="preserve"> – with its </w:t>
      </w:r>
      <w:r w:rsidR="009434F8">
        <w:rPr/>
        <w:t xml:space="preserve">Board </w:t>
      </w:r>
      <w:r w:rsidR="008645B7">
        <w:rPr/>
        <w:t>and</w:t>
      </w:r>
      <w:r w:rsidR="009434F8">
        <w:rPr/>
        <w:t xml:space="preserve"> external audiences</w:t>
      </w:r>
      <w:r w:rsidR="00E40066">
        <w:rPr/>
        <w:t>.</w:t>
      </w:r>
      <w:r w:rsidR="008645B7">
        <w:rPr/>
        <w:t xml:space="preserve">  </w:t>
      </w:r>
      <w:r w:rsidR="008645B7">
        <w:rPr/>
        <w:t>We may share s</w:t>
      </w:r>
      <w:r w:rsidR="004B246F">
        <w:rPr/>
        <w:t xml:space="preserve">ummary </w:t>
      </w:r>
      <w:r w:rsidR="00FA1CEA">
        <w:rPr/>
        <w:t>utilization</w:t>
      </w:r>
      <w:r w:rsidR="004B246F">
        <w:rPr/>
        <w:t xml:space="preserve"> </w:t>
      </w:r>
      <w:r w:rsidR="0041392B">
        <w:rPr/>
        <w:t>(</w:t>
      </w:r>
      <w:r w:rsidR="0082111F">
        <w:rPr/>
        <w:t>patient counts, script/day</w:t>
      </w:r>
      <w:r w:rsidR="0041392B">
        <w:rPr/>
        <w:t>s)</w:t>
      </w:r>
      <w:r w:rsidR="0082111F">
        <w:rPr/>
        <w:t xml:space="preserve"> and </w:t>
      </w:r>
      <w:r w:rsidR="00FA1CEA">
        <w:rPr/>
        <w:t>financial</w:t>
      </w:r>
      <w:r w:rsidR="008645B7">
        <w:rPr/>
        <w:t>s</w:t>
      </w:r>
      <w:r w:rsidR="00FA1CEA">
        <w:rPr/>
        <w:t xml:space="preserve"> </w:t>
      </w:r>
      <w:r w:rsidR="0041392B">
        <w:rPr/>
        <w:t>(</w:t>
      </w:r>
      <w:r w:rsidR="00FA1CEA">
        <w:rPr/>
        <w:t xml:space="preserve">allowed, </w:t>
      </w:r>
      <w:r w:rsidR="008645B7">
        <w:rPr/>
        <w:t xml:space="preserve">net plan </w:t>
      </w:r>
      <w:r w:rsidR="00F76B20">
        <w:rPr/>
        <w:t xml:space="preserve">paid, </w:t>
      </w:r>
      <w:r w:rsidR="008645B7">
        <w:rPr/>
        <w:t xml:space="preserve">and </w:t>
      </w:r>
      <w:r w:rsidR="00F76B20">
        <w:rPr/>
        <w:t>member</w:t>
      </w:r>
      <w:r w:rsidR="00FA1CEA">
        <w:rPr/>
        <w:t xml:space="preserve"> </w:t>
      </w:r>
      <w:r w:rsidR="00375DF6">
        <w:rPr/>
        <w:t>out-of-pocket</w:t>
      </w:r>
      <w:r w:rsidR="008645B7">
        <w:rPr/>
        <w:t xml:space="preserve"> amounts</w:t>
      </w:r>
      <w:r w:rsidR="0041392B">
        <w:rPr/>
        <w:t>)</w:t>
      </w:r>
      <w:r w:rsidR="00AE5AC3">
        <w:rPr/>
        <w:t xml:space="preserve"> </w:t>
      </w:r>
      <w:r w:rsidR="00F31F79">
        <w:rPr/>
        <w:t>for certain drug types (</w:t>
      </w:r>
      <w:r w:rsidR="008645B7">
        <w:rPr/>
        <w:t xml:space="preserve">e.g., </w:t>
      </w:r>
      <w:r w:rsidR="00F31F79">
        <w:rPr/>
        <w:t xml:space="preserve">insulin, </w:t>
      </w:r>
      <w:r w:rsidR="001D24CD">
        <w:rPr/>
        <w:t>mifepristone</w:t>
      </w:r>
      <w:r w:rsidR="00F76B20">
        <w:rPr/>
        <w:t>) or pharmacies (</w:t>
      </w:r>
      <w:r w:rsidR="008645B7">
        <w:rPr/>
        <w:t xml:space="preserve">e.g., </w:t>
      </w:r>
      <w:r w:rsidR="00F76B20">
        <w:rPr/>
        <w:t xml:space="preserve">Walgreens) </w:t>
      </w:r>
      <w:r w:rsidR="008645B7">
        <w:rPr/>
        <w:t>with</w:t>
      </w:r>
      <w:r w:rsidR="00AE5AC3">
        <w:rPr/>
        <w:t xml:space="preserve"> </w:t>
      </w:r>
      <w:r w:rsidR="008645B7">
        <w:rPr/>
        <w:t>the California Health and Human Services Agency (</w:t>
      </w:r>
      <w:r w:rsidR="008645B7">
        <w:rPr/>
        <w:t>CalHHS</w:t>
      </w:r>
      <w:r w:rsidR="008645B7">
        <w:rPr/>
        <w:t>)</w:t>
      </w:r>
      <w:r w:rsidR="00E51869">
        <w:rPr/>
        <w:t xml:space="preserve">, other State of California agencies and departments, and </w:t>
      </w:r>
      <w:r w:rsidR="00F31F79">
        <w:rPr/>
        <w:t>the Go</w:t>
      </w:r>
      <w:r w:rsidR="008B68BC">
        <w:rPr/>
        <w:t>vernor</w:t>
      </w:r>
      <w:r w:rsidR="00E51869">
        <w:rPr/>
        <w:t>’</w:t>
      </w:r>
      <w:r w:rsidR="008B68BC">
        <w:rPr/>
        <w:t xml:space="preserve">s </w:t>
      </w:r>
      <w:r w:rsidR="00E51869">
        <w:rPr/>
        <w:t>o</w:t>
      </w:r>
      <w:r w:rsidR="008B68BC">
        <w:rPr/>
        <w:t xml:space="preserve">ffice as </w:t>
      </w:r>
      <w:r w:rsidR="00E51869">
        <w:rPr/>
        <w:t>such information may be useful</w:t>
      </w:r>
      <w:r w:rsidR="008B68BC">
        <w:rPr/>
        <w:t xml:space="preserve"> </w:t>
      </w:r>
      <w:r w:rsidR="00E51869">
        <w:rPr/>
        <w:t>for</w:t>
      </w:r>
      <w:r w:rsidR="008B68BC">
        <w:rPr/>
        <w:t xml:space="preserve"> State</w:t>
      </w:r>
      <w:r w:rsidR="00F76B20">
        <w:rPr/>
        <w:t>/</w:t>
      </w:r>
      <w:r w:rsidR="00E51869">
        <w:rPr/>
        <w:t>f</w:t>
      </w:r>
      <w:r w:rsidR="00F76B20">
        <w:rPr/>
        <w:t>ederal</w:t>
      </w:r>
      <w:r w:rsidR="008B68BC">
        <w:rPr/>
        <w:t xml:space="preserve"> </w:t>
      </w:r>
      <w:r w:rsidR="00E51869">
        <w:rPr/>
        <w:t xml:space="preserve">health </w:t>
      </w:r>
      <w:r w:rsidR="008B68BC">
        <w:rPr/>
        <w:t>policy</w:t>
      </w:r>
      <w:r w:rsidR="00E51869">
        <w:rPr/>
        <w:t xml:space="preserve"> formulation</w:t>
      </w:r>
      <w:r w:rsidR="00F76B20">
        <w:rPr/>
        <w:t>, legislation</w:t>
      </w:r>
      <w:r w:rsidR="00E51869">
        <w:rPr/>
        <w:t>,</w:t>
      </w:r>
      <w:r w:rsidR="00F76B20">
        <w:rPr/>
        <w:t xml:space="preserve"> or</w:t>
      </w:r>
      <w:r w:rsidR="008B68BC">
        <w:rPr/>
        <w:t xml:space="preserve"> </w:t>
      </w:r>
      <w:r w:rsidR="00E51869">
        <w:rPr/>
        <w:t xml:space="preserve">governmental health care </w:t>
      </w:r>
      <w:r w:rsidR="008B68BC">
        <w:rPr/>
        <w:t>operations</w:t>
      </w:r>
      <w:r w:rsidR="00712B96">
        <w:rPr/>
        <w:t>.</w:t>
      </w:r>
    </w:p>
    <w:sectPr w:rsidR="009529E7">
      <w:footerReference w:type="default" r:id="rId11"/>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0073C" w:rsidP="0050073C" w:rsidRDefault="0050073C" w14:paraId="0AC3C4F6" w14:textId="77777777">
      <w:pPr>
        <w:spacing w:after="0" w:line="240" w:lineRule="auto"/>
      </w:pPr>
      <w:r>
        <w:separator/>
      </w:r>
    </w:p>
  </w:endnote>
  <w:endnote w:type="continuationSeparator" w:id="0">
    <w:p w:rsidR="0050073C" w:rsidP="0050073C" w:rsidRDefault="0050073C" w14:paraId="6A3B87B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0073C" w:rsidR="0050073C" w:rsidP="0050073C" w:rsidRDefault="0050073C" w14:paraId="15E9C983" w14:textId="3DF5B4D6">
    <w:pPr>
      <w:pStyle w:val="Footer"/>
      <w:jc w:val="center"/>
      <w:rPr>
        <w:rFonts w:cstheme="minorHAnsi"/>
      </w:rPr>
    </w:pPr>
    <w:r w:rsidRPr="0050073C">
      <w:rPr>
        <w:rFonts w:cstheme="minorHAnsi"/>
      </w:rPr>
      <w:t xml:space="preserve">Page </w:t>
    </w:r>
    <w:r w:rsidRPr="0050073C">
      <w:rPr>
        <w:rFonts w:cstheme="minorHAnsi"/>
      </w:rPr>
      <w:fldChar w:fldCharType="begin"/>
    </w:r>
    <w:r w:rsidRPr="0050073C">
      <w:rPr>
        <w:rFonts w:cstheme="minorHAnsi"/>
      </w:rPr>
      <w:instrText xml:space="preserve"> PAGE </w:instrText>
    </w:r>
    <w:r w:rsidRPr="0050073C">
      <w:rPr>
        <w:rFonts w:cstheme="minorHAnsi"/>
      </w:rPr>
      <w:fldChar w:fldCharType="separate"/>
    </w:r>
    <w:r w:rsidRPr="0050073C">
      <w:rPr>
        <w:rFonts w:cstheme="minorHAnsi"/>
        <w:noProof/>
      </w:rPr>
      <w:t>1</w:t>
    </w:r>
    <w:r w:rsidRPr="0050073C">
      <w:rPr>
        <w:rFonts w:cstheme="minorHAnsi"/>
      </w:rPr>
      <w:fldChar w:fldCharType="end"/>
    </w:r>
    <w:r w:rsidRPr="0050073C">
      <w:rPr>
        <w:rFonts w:cstheme="minorHAnsi"/>
      </w:rPr>
      <w:t xml:space="preserve"> of </w:t>
    </w:r>
    <w:r w:rsidRPr="0050073C">
      <w:rPr>
        <w:rFonts w:cstheme="minorHAnsi"/>
      </w:rPr>
      <w:fldChar w:fldCharType="begin"/>
    </w:r>
    <w:r w:rsidRPr="0050073C">
      <w:rPr>
        <w:rFonts w:cstheme="minorHAnsi"/>
      </w:rPr>
      <w:instrText xml:space="preserve"> NUMPAGES </w:instrText>
    </w:r>
    <w:r w:rsidRPr="0050073C">
      <w:rPr>
        <w:rFonts w:cstheme="minorHAnsi"/>
      </w:rPr>
      <w:fldChar w:fldCharType="separate"/>
    </w:r>
    <w:r w:rsidRPr="0050073C">
      <w:rPr>
        <w:rFonts w:cstheme="minorHAnsi"/>
        <w:noProof/>
      </w:rPr>
      <w:t>3</w:t>
    </w:r>
    <w:r w:rsidRPr="0050073C">
      <w:rPr>
        <w:rFonts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0073C" w:rsidP="0050073C" w:rsidRDefault="0050073C" w14:paraId="7BDEDD80" w14:textId="77777777">
      <w:pPr>
        <w:spacing w:after="0" w:line="240" w:lineRule="auto"/>
      </w:pPr>
      <w:r>
        <w:separator/>
      </w:r>
    </w:p>
  </w:footnote>
  <w:footnote w:type="continuationSeparator" w:id="0">
    <w:p w:rsidR="0050073C" w:rsidP="0050073C" w:rsidRDefault="0050073C" w14:paraId="50273777" w14:textId="77777777">
      <w:pPr>
        <w:spacing w:after="0" w:line="240" w:lineRule="auto"/>
      </w:pPr>
      <w:r>
        <w:continuationSeparator/>
      </w:r>
    </w:p>
  </w:footnote>
  <w:footnote w:id="1">
    <w:p w:rsidR="00E51869" w:rsidP="00356A0C" w:rsidRDefault="00E51869" w14:paraId="1BBF46D8" w14:textId="23B335A4">
      <w:pPr>
        <w:pStyle w:val="FootnoteText"/>
        <w:spacing w:before="120" w:after="120"/>
      </w:pPr>
      <w:r>
        <w:rPr>
          <w:rStyle w:val="FootnoteReference"/>
        </w:rPr>
        <w:footnoteRef/>
      </w:r>
      <w:r>
        <w:t xml:space="preserve"> </w:t>
      </w:r>
      <w:r w:rsidR="00D236EE">
        <w:t>Grace Sparks, Ashley Kirzinger, Alex Montero, Isabelle Valdes, and Liz Hamel; “</w:t>
      </w:r>
      <w:r>
        <w:t>Public Opinion on Prescription Drugs and Their Prices</w:t>
      </w:r>
      <w:r w:rsidR="00D236EE">
        <w:t xml:space="preserve">”, KFF, October 4, 2024, </w:t>
      </w:r>
      <w:hyperlink w:history="1" r:id="rId1">
        <w:r w:rsidRPr="000E4FB9" w:rsidR="00D236EE">
          <w:rPr>
            <w:rStyle w:val="Hyperlink"/>
          </w:rPr>
          <w:t>https://www.kff.org/health-costs/poll-finding/public-opinion-on-prescription-drugs-and-their-prices/</w:t>
        </w:r>
      </w:hyperlink>
      <w:r w:rsidR="00D236EE">
        <w:t>.</w:t>
      </w:r>
    </w:p>
  </w:footnote>
  <w:footnote w:id="2">
    <w:p w:rsidR="00D236EE" w:rsidP="00356A0C" w:rsidRDefault="00D236EE" w14:paraId="6AA2BDC5" w14:textId="72A47223">
      <w:pPr>
        <w:pStyle w:val="FootnoteText"/>
        <w:spacing w:before="120" w:after="120"/>
      </w:pPr>
      <w:r>
        <w:rPr>
          <w:rStyle w:val="FootnoteReference"/>
        </w:rPr>
        <w:footnoteRef/>
      </w:r>
      <w:r>
        <w:t xml:space="preserve"> </w:t>
      </w:r>
      <w:r w:rsidR="00356A0C">
        <w:t xml:space="preserve">Emory Wolf, MPP; Mary Slosar, PhD; and Isaac Menashe, MPP; “Assessment of Churn in Coverage Among California’s Health Insurance Marketplace Enrollees”, JAMA Health Forum, December 2, 2022, </w:t>
      </w:r>
      <w:hyperlink w:history="1" r:id="rId2">
        <w:r w:rsidRPr="000E4FB9" w:rsidR="00356A0C">
          <w:rPr>
            <w:rStyle w:val="Hyperlink"/>
          </w:rPr>
          <w:t>https://jamanetwork.com/journals/jama-health-forum/fullarticle/2799211</w:t>
        </w:r>
      </w:hyperlink>
      <w:r w:rsidR="00356A0C">
        <w:t>.</w:t>
      </w:r>
    </w:p>
  </w:footnote>
  <w:footnote w:id="3">
    <w:p w:rsidR="00AD1393" w:rsidP="009B794A" w:rsidRDefault="00AD1393" w14:paraId="0E3CE7AC" w14:textId="4A765D58">
      <w:pPr>
        <w:pStyle w:val="FootnoteText"/>
        <w:spacing w:before="120" w:after="120"/>
      </w:pPr>
      <w:r>
        <w:rPr>
          <w:rStyle w:val="FootnoteReference"/>
        </w:rPr>
        <w:footnoteRef/>
      </w:r>
      <w:r>
        <w:t xml:space="preserve"> </w:t>
      </w:r>
      <w:r w:rsidR="009B794A">
        <w:t xml:space="preserve">Covered California, “Health Plan Performance Report: How Covered California as an Active Purchaser Drives Clinical Quality, Equity, and Value”, Covered California Data &amp; Research, accessed May 30, 2025, </w:t>
      </w:r>
      <w:hyperlink w:history="1" r:id="rId3">
        <w:r w:rsidRPr="000E4FB9" w:rsidR="009B794A">
          <w:rPr>
            <w:rStyle w:val="Hyperlink"/>
          </w:rPr>
          <w:t>https://hbex.coveredca.com/data-research/plan-performance-reports/</w:t>
        </w:r>
      </w:hyperlink>
      <w:r w:rsidR="009B794A">
        <w:t>.</w:t>
      </w:r>
    </w:p>
  </w:footnote>
  <w:footnote w:id="4">
    <w:p w:rsidR="009B794A" w:rsidP="009B794A" w:rsidRDefault="009B794A" w14:paraId="0FDF463C" w14:textId="65437C19">
      <w:pPr>
        <w:pStyle w:val="FootnoteText"/>
        <w:spacing w:before="120" w:after="120"/>
      </w:pPr>
      <w:r>
        <w:rPr>
          <w:rStyle w:val="FootnoteReference"/>
        </w:rPr>
        <w:footnoteRef/>
      </w:r>
      <w:r>
        <w:t xml:space="preserve"> Covered California, “Quality Transformation Initiative”, Covered California Plan Management | QTI, accessed May 30, 2025, </w:t>
      </w:r>
      <w:hyperlink w:history="1" r:id="rId4">
        <w:r w:rsidRPr="000E4FB9">
          <w:rPr>
            <w:rStyle w:val="Hyperlink"/>
          </w:rPr>
          <w:t>https://hbex.coveredca.com/stakeholders/plan-management/qti/</w:t>
        </w:r>
      </w:hyperlink>
      <w:r>
        <w:t>.</w:t>
      </w:r>
    </w:p>
  </w:footnote>
  <w:footnote w:id="5">
    <w:p w:rsidR="00967F8D" w:rsidP="00967F8D" w:rsidRDefault="00967F8D" w14:paraId="60EBA7D9" w14:textId="77777777">
      <w:pPr>
        <w:pStyle w:val="FootnoteText"/>
      </w:pPr>
      <w:r>
        <w:rPr>
          <w:rStyle w:val="FootnoteReference"/>
        </w:rPr>
        <w:footnoteRef/>
      </w:r>
      <w:r>
        <w:t xml:space="preserve"> In this and other use cases, for any analyses involving on-Exchange Covered California for Small Business (CCSB) small group claims / encounters and capitation, Proposer will link not to CalHEERS but instead to CCSB enrollment data.  For similar analyses involving off-Exchange utilization and costs, Proposer will link to off-Exchange enrollment data provided by QHP Issuers via their HEI 3.0 monthly data submissions.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D3CF2"/>
    <w:multiLevelType w:val="hybridMultilevel"/>
    <w:tmpl w:val="78C0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64495C"/>
    <w:multiLevelType w:val="hybridMultilevel"/>
    <w:tmpl w:val="5D6A2DA2"/>
    <w:lvl w:ilvl="0" w:tplc="10D630AA">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6596CD4"/>
    <w:multiLevelType w:val="hybridMultilevel"/>
    <w:tmpl w:val="93AA6944"/>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 w15:restartNumberingAfterBreak="0">
    <w:nsid w:val="2A3F7801"/>
    <w:multiLevelType w:val="hybridMultilevel"/>
    <w:tmpl w:val="F484EF90"/>
    <w:lvl w:ilvl="0" w:tplc="121618DC">
      <w:numFmt w:val="bullet"/>
      <w:lvlText w:val="–"/>
      <w:lvlJc w:val="left"/>
      <w:pPr>
        <w:ind w:left="400" w:hanging="360"/>
      </w:pPr>
      <w:rPr>
        <w:rFonts w:hint="default" w:ascii="Calibri" w:hAnsi="Calibri" w:cs="Calibri" w:eastAsiaTheme="minorHAnsi"/>
      </w:rPr>
    </w:lvl>
    <w:lvl w:ilvl="1" w:tplc="04090003" w:tentative="1">
      <w:start w:val="1"/>
      <w:numFmt w:val="bullet"/>
      <w:lvlText w:val="o"/>
      <w:lvlJc w:val="left"/>
      <w:pPr>
        <w:ind w:left="1120" w:hanging="360"/>
      </w:pPr>
      <w:rPr>
        <w:rFonts w:hint="default" w:ascii="Courier New" w:hAnsi="Courier New" w:cs="Courier New"/>
      </w:rPr>
    </w:lvl>
    <w:lvl w:ilvl="2" w:tplc="04090005" w:tentative="1">
      <w:start w:val="1"/>
      <w:numFmt w:val="bullet"/>
      <w:lvlText w:val=""/>
      <w:lvlJc w:val="left"/>
      <w:pPr>
        <w:ind w:left="1840" w:hanging="360"/>
      </w:pPr>
      <w:rPr>
        <w:rFonts w:hint="default" w:ascii="Wingdings" w:hAnsi="Wingdings"/>
      </w:rPr>
    </w:lvl>
    <w:lvl w:ilvl="3" w:tplc="04090001" w:tentative="1">
      <w:start w:val="1"/>
      <w:numFmt w:val="bullet"/>
      <w:lvlText w:val=""/>
      <w:lvlJc w:val="left"/>
      <w:pPr>
        <w:ind w:left="2560" w:hanging="360"/>
      </w:pPr>
      <w:rPr>
        <w:rFonts w:hint="default" w:ascii="Symbol" w:hAnsi="Symbol"/>
      </w:rPr>
    </w:lvl>
    <w:lvl w:ilvl="4" w:tplc="04090003" w:tentative="1">
      <w:start w:val="1"/>
      <w:numFmt w:val="bullet"/>
      <w:lvlText w:val="o"/>
      <w:lvlJc w:val="left"/>
      <w:pPr>
        <w:ind w:left="3280" w:hanging="360"/>
      </w:pPr>
      <w:rPr>
        <w:rFonts w:hint="default" w:ascii="Courier New" w:hAnsi="Courier New" w:cs="Courier New"/>
      </w:rPr>
    </w:lvl>
    <w:lvl w:ilvl="5" w:tplc="04090005" w:tentative="1">
      <w:start w:val="1"/>
      <w:numFmt w:val="bullet"/>
      <w:lvlText w:val=""/>
      <w:lvlJc w:val="left"/>
      <w:pPr>
        <w:ind w:left="4000" w:hanging="360"/>
      </w:pPr>
      <w:rPr>
        <w:rFonts w:hint="default" w:ascii="Wingdings" w:hAnsi="Wingdings"/>
      </w:rPr>
    </w:lvl>
    <w:lvl w:ilvl="6" w:tplc="04090001" w:tentative="1">
      <w:start w:val="1"/>
      <w:numFmt w:val="bullet"/>
      <w:lvlText w:val=""/>
      <w:lvlJc w:val="left"/>
      <w:pPr>
        <w:ind w:left="4720" w:hanging="360"/>
      </w:pPr>
      <w:rPr>
        <w:rFonts w:hint="default" w:ascii="Symbol" w:hAnsi="Symbol"/>
      </w:rPr>
    </w:lvl>
    <w:lvl w:ilvl="7" w:tplc="04090003" w:tentative="1">
      <w:start w:val="1"/>
      <w:numFmt w:val="bullet"/>
      <w:lvlText w:val="o"/>
      <w:lvlJc w:val="left"/>
      <w:pPr>
        <w:ind w:left="5440" w:hanging="360"/>
      </w:pPr>
      <w:rPr>
        <w:rFonts w:hint="default" w:ascii="Courier New" w:hAnsi="Courier New" w:cs="Courier New"/>
      </w:rPr>
    </w:lvl>
    <w:lvl w:ilvl="8" w:tplc="04090005" w:tentative="1">
      <w:start w:val="1"/>
      <w:numFmt w:val="bullet"/>
      <w:lvlText w:val=""/>
      <w:lvlJc w:val="left"/>
      <w:pPr>
        <w:ind w:left="6160" w:hanging="360"/>
      </w:pPr>
      <w:rPr>
        <w:rFonts w:hint="default" w:ascii="Wingdings" w:hAnsi="Wingdings"/>
      </w:rPr>
    </w:lvl>
  </w:abstractNum>
  <w:abstractNum w:abstractNumId="4" w15:restartNumberingAfterBreak="0">
    <w:nsid w:val="40AF53D2"/>
    <w:multiLevelType w:val="hybridMultilevel"/>
    <w:tmpl w:val="6CC67528"/>
    <w:lvl w:ilvl="0" w:tplc="F80A461E">
      <w:start w:val="1"/>
      <w:numFmt w:val="bullet"/>
      <w:lvlText w:val=""/>
      <w:lvlJc w:val="left"/>
      <w:pPr>
        <w:ind w:left="720" w:hanging="360"/>
      </w:pPr>
      <w:rPr>
        <w:rFonts w:hint="default" w:ascii="Symbol" w:hAnsi="Symbol"/>
      </w:rPr>
    </w:lvl>
    <w:lvl w:ilvl="1" w:tplc="3B84A2BC">
      <w:start w:val="1"/>
      <w:numFmt w:val="bullet"/>
      <w:lvlText w:val="o"/>
      <w:lvlJc w:val="left"/>
      <w:pPr>
        <w:ind w:left="1440" w:hanging="360"/>
      </w:pPr>
      <w:rPr>
        <w:rFonts w:hint="default" w:ascii="Courier New" w:hAnsi="Courier New"/>
      </w:rPr>
    </w:lvl>
    <w:lvl w:ilvl="2" w:tplc="9AE8299A">
      <w:start w:val="1"/>
      <w:numFmt w:val="bullet"/>
      <w:lvlText w:val=""/>
      <w:lvlJc w:val="left"/>
      <w:pPr>
        <w:ind w:left="2160" w:hanging="360"/>
      </w:pPr>
      <w:rPr>
        <w:rFonts w:hint="default" w:ascii="Wingdings" w:hAnsi="Wingdings"/>
      </w:rPr>
    </w:lvl>
    <w:lvl w:ilvl="3" w:tplc="5EA2F10C">
      <w:start w:val="1"/>
      <w:numFmt w:val="bullet"/>
      <w:lvlText w:val=""/>
      <w:lvlJc w:val="left"/>
      <w:pPr>
        <w:ind w:left="2880" w:hanging="360"/>
      </w:pPr>
      <w:rPr>
        <w:rFonts w:hint="default" w:ascii="Symbol" w:hAnsi="Symbol"/>
      </w:rPr>
    </w:lvl>
    <w:lvl w:ilvl="4" w:tplc="F49CA730">
      <w:start w:val="1"/>
      <w:numFmt w:val="bullet"/>
      <w:lvlText w:val="o"/>
      <w:lvlJc w:val="left"/>
      <w:pPr>
        <w:ind w:left="3600" w:hanging="360"/>
      </w:pPr>
      <w:rPr>
        <w:rFonts w:hint="default" w:ascii="Courier New" w:hAnsi="Courier New"/>
      </w:rPr>
    </w:lvl>
    <w:lvl w:ilvl="5" w:tplc="5C68898A">
      <w:start w:val="1"/>
      <w:numFmt w:val="bullet"/>
      <w:lvlText w:val=""/>
      <w:lvlJc w:val="left"/>
      <w:pPr>
        <w:ind w:left="4320" w:hanging="360"/>
      </w:pPr>
      <w:rPr>
        <w:rFonts w:hint="default" w:ascii="Wingdings" w:hAnsi="Wingdings"/>
      </w:rPr>
    </w:lvl>
    <w:lvl w:ilvl="6" w:tplc="E2043E82">
      <w:start w:val="1"/>
      <w:numFmt w:val="bullet"/>
      <w:lvlText w:val=""/>
      <w:lvlJc w:val="left"/>
      <w:pPr>
        <w:ind w:left="5040" w:hanging="360"/>
      </w:pPr>
      <w:rPr>
        <w:rFonts w:hint="default" w:ascii="Symbol" w:hAnsi="Symbol"/>
      </w:rPr>
    </w:lvl>
    <w:lvl w:ilvl="7" w:tplc="90EAD0A6">
      <w:start w:val="1"/>
      <w:numFmt w:val="bullet"/>
      <w:lvlText w:val="o"/>
      <w:lvlJc w:val="left"/>
      <w:pPr>
        <w:ind w:left="5760" w:hanging="360"/>
      </w:pPr>
      <w:rPr>
        <w:rFonts w:hint="default" w:ascii="Courier New" w:hAnsi="Courier New"/>
      </w:rPr>
    </w:lvl>
    <w:lvl w:ilvl="8" w:tplc="E61677A4">
      <w:start w:val="1"/>
      <w:numFmt w:val="bullet"/>
      <w:lvlText w:val=""/>
      <w:lvlJc w:val="left"/>
      <w:pPr>
        <w:ind w:left="6480" w:hanging="360"/>
      </w:pPr>
      <w:rPr>
        <w:rFonts w:hint="default" w:ascii="Wingdings" w:hAnsi="Wingdings"/>
      </w:rPr>
    </w:lvl>
  </w:abstractNum>
  <w:abstractNum w:abstractNumId="5" w15:restartNumberingAfterBreak="0">
    <w:nsid w:val="47652AD0"/>
    <w:multiLevelType w:val="hybridMultilevel"/>
    <w:tmpl w:val="2DDEE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DE2CD3"/>
    <w:multiLevelType w:val="hybridMultilevel"/>
    <w:tmpl w:val="7EC602BC"/>
    <w:lvl w:ilvl="0" w:tplc="62BE80BA">
      <w:start w:val="1"/>
      <w:numFmt w:val="decimal"/>
      <w:lvlText w:val="%1."/>
      <w:lvlJc w:val="left"/>
      <w:pPr>
        <w:ind w:left="720" w:hanging="360"/>
      </w:pPr>
    </w:lvl>
    <w:lvl w:ilvl="1" w:tplc="C5A2548A">
      <w:start w:val="1"/>
      <w:numFmt w:val="lowerLetter"/>
      <w:lvlText w:val="%2."/>
      <w:lvlJc w:val="left"/>
      <w:pPr>
        <w:ind w:left="1440" w:hanging="360"/>
      </w:pPr>
    </w:lvl>
    <w:lvl w:ilvl="2" w:tplc="CE08B83A">
      <w:start w:val="1"/>
      <w:numFmt w:val="lowerRoman"/>
      <w:lvlText w:val="%3."/>
      <w:lvlJc w:val="right"/>
      <w:pPr>
        <w:ind w:left="2160" w:hanging="180"/>
      </w:pPr>
    </w:lvl>
    <w:lvl w:ilvl="3" w:tplc="05841130">
      <w:start w:val="1"/>
      <w:numFmt w:val="decimal"/>
      <w:lvlText w:val="%4."/>
      <w:lvlJc w:val="left"/>
      <w:pPr>
        <w:ind w:left="2880" w:hanging="360"/>
      </w:pPr>
    </w:lvl>
    <w:lvl w:ilvl="4" w:tplc="CF184494">
      <w:start w:val="1"/>
      <w:numFmt w:val="lowerLetter"/>
      <w:lvlText w:val="%5."/>
      <w:lvlJc w:val="left"/>
      <w:pPr>
        <w:ind w:left="3600" w:hanging="360"/>
      </w:pPr>
    </w:lvl>
    <w:lvl w:ilvl="5" w:tplc="6D7A734A">
      <w:start w:val="1"/>
      <w:numFmt w:val="lowerRoman"/>
      <w:lvlText w:val="%6."/>
      <w:lvlJc w:val="right"/>
      <w:pPr>
        <w:ind w:left="4320" w:hanging="180"/>
      </w:pPr>
    </w:lvl>
    <w:lvl w:ilvl="6" w:tplc="4ACC0280">
      <w:start w:val="1"/>
      <w:numFmt w:val="decimal"/>
      <w:lvlText w:val="%7."/>
      <w:lvlJc w:val="left"/>
      <w:pPr>
        <w:ind w:left="5040" w:hanging="360"/>
      </w:pPr>
    </w:lvl>
    <w:lvl w:ilvl="7" w:tplc="3EB6489A">
      <w:start w:val="1"/>
      <w:numFmt w:val="lowerLetter"/>
      <w:lvlText w:val="%8."/>
      <w:lvlJc w:val="left"/>
      <w:pPr>
        <w:ind w:left="5760" w:hanging="360"/>
      </w:pPr>
    </w:lvl>
    <w:lvl w:ilvl="8" w:tplc="8A1E1A16">
      <w:start w:val="1"/>
      <w:numFmt w:val="lowerRoman"/>
      <w:lvlText w:val="%9."/>
      <w:lvlJc w:val="right"/>
      <w:pPr>
        <w:ind w:left="6480" w:hanging="180"/>
      </w:pPr>
    </w:lvl>
  </w:abstractNum>
  <w:abstractNum w:abstractNumId="7" w15:restartNumberingAfterBreak="0">
    <w:nsid w:val="59DE73E7"/>
    <w:multiLevelType w:val="hybridMultilevel"/>
    <w:tmpl w:val="7C646484"/>
    <w:lvl w:ilvl="0" w:tplc="1068EB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CFF330F"/>
    <w:multiLevelType w:val="hybridMultilevel"/>
    <w:tmpl w:val="AC0CFC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3667600">
    <w:abstractNumId w:val="6"/>
  </w:num>
  <w:num w:numId="2" w16cid:durableId="1779788819">
    <w:abstractNumId w:val="4"/>
  </w:num>
  <w:num w:numId="3" w16cid:durableId="786051164">
    <w:abstractNumId w:val="7"/>
  </w:num>
  <w:num w:numId="4" w16cid:durableId="1001275417">
    <w:abstractNumId w:val="0"/>
  </w:num>
  <w:num w:numId="5" w16cid:durableId="1286497777">
    <w:abstractNumId w:val="1"/>
  </w:num>
  <w:num w:numId="6" w16cid:durableId="684408994">
    <w:abstractNumId w:val="8"/>
  </w:num>
  <w:num w:numId="7" w16cid:durableId="973099705">
    <w:abstractNumId w:val="5"/>
  </w:num>
  <w:num w:numId="8" w16cid:durableId="119880101">
    <w:abstractNumId w:val="2"/>
  </w:num>
  <w:num w:numId="9" w16cid:durableId="4044522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val="tru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9E7"/>
    <w:rsid w:val="00006AFF"/>
    <w:rsid w:val="00007C31"/>
    <w:rsid w:val="00010647"/>
    <w:rsid w:val="00010771"/>
    <w:rsid w:val="00011181"/>
    <w:rsid w:val="00013A15"/>
    <w:rsid w:val="00020D43"/>
    <w:rsid w:val="00021B08"/>
    <w:rsid w:val="00022CBE"/>
    <w:rsid w:val="0003165A"/>
    <w:rsid w:val="00037334"/>
    <w:rsid w:val="00043E3C"/>
    <w:rsid w:val="00044211"/>
    <w:rsid w:val="000446FB"/>
    <w:rsid w:val="00046C79"/>
    <w:rsid w:val="00047A91"/>
    <w:rsid w:val="00052844"/>
    <w:rsid w:val="00055133"/>
    <w:rsid w:val="000559D0"/>
    <w:rsid w:val="00056893"/>
    <w:rsid w:val="00056E56"/>
    <w:rsid w:val="0006225D"/>
    <w:rsid w:val="00072309"/>
    <w:rsid w:val="00075C5C"/>
    <w:rsid w:val="00077660"/>
    <w:rsid w:val="00084848"/>
    <w:rsid w:val="000877BA"/>
    <w:rsid w:val="00093E0C"/>
    <w:rsid w:val="00094B2D"/>
    <w:rsid w:val="00096265"/>
    <w:rsid w:val="00096D58"/>
    <w:rsid w:val="0009733B"/>
    <w:rsid w:val="000B004B"/>
    <w:rsid w:val="000B1A94"/>
    <w:rsid w:val="000B21B3"/>
    <w:rsid w:val="000B5C36"/>
    <w:rsid w:val="000B6DF5"/>
    <w:rsid w:val="000C0882"/>
    <w:rsid w:val="000C2906"/>
    <w:rsid w:val="000C53AD"/>
    <w:rsid w:val="000C7083"/>
    <w:rsid w:val="000E024A"/>
    <w:rsid w:val="000E4269"/>
    <w:rsid w:val="000E6340"/>
    <w:rsid w:val="000F1CD1"/>
    <w:rsid w:val="000F3CA1"/>
    <w:rsid w:val="000F4CEA"/>
    <w:rsid w:val="000F4DA9"/>
    <w:rsid w:val="000F5785"/>
    <w:rsid w:val="00101CA3"/>
    <w:rsid w:val="001031ED"/>
    <w:rsid w:val="00107038"/>
    <w:rsid w:val="00111669"/>
    <w:rsid w:val="00111A82"/>
    <w:rsid w:val="00112069"/>
    <w:rsid w:val="00116FAD"/>
    <w:rsid w:val="001171E5"/>
    <w:rsid w:val="00117EB8"/>
    <w:rsid w:val="0012094F"/>
    <w:rsid w:val="00122601"/>
    <w:rsid w:val="001248F5"/>
    <w:rsid w:val="00126474"/>
    <w:rsid w:val="00127707"/>
    <w:rsid w:val="00133329"/>
    <w:rsid w:val="001334BE"/>
    <w:rsid w:val="00134CE7"/>
    <w:rsid w:val="00134DBF"/>
    <w:rsid w:val="0015018E"/>
    <w:rsid w:val="00152982"/>
    <w:rsid w:val="00152A5B"/>
    <w:rsid w:val="001565F0"/>
    <w:rsid w:val="00157CDC"/>
    <w:rsid w:val="00162163"/>
    <w:rsid w:val="00170F9F"/>
    <w:rsid w:val="00172C5B"/>
    <w:rsid w:val="00175B71"/>
    <w:rsid w:val="00176B00"/>
    <w:rsid w:val="001810AB"/>
    <w:rsid w:val="00183680"/>
    <w:rsid w:val="00183CC9"/>
    <w:rsid w:val="00184A8B"/>
    <w:rsid w:val="001856EE"/>
    <w:rsid w:val="001904A8"/>
    <w:rsid w:val="00191095"/>
    <w:rsid w:val="00195EE5"/>
    <w:rsid w:val="001A3025"/>
    <w:rsid w:val="001A362B"/>
    <w:rsid w:val="001D24CD"/>
    <w:rsid w:val="001D346F"/>
    <w:rsid w:val="001D4334"/>
    <w:rsid w:val="001E1D91"/>
    <w:rsid w:val="001E32BF"/>
    <w:rsid w:val="001E354A"/>
    <w:rsid w:val="001E581F"/>
    <w:rsid w:val="001F2DDB"/>
    <w:rsid w:val="001F7637"/>
    <w:rsid w:val="00205C52"/>
    <w:rsid w:val="002078C9"/>
    <w:rsid w:val="002113A7"/>
    <w:rsid w:val="00213A9F"/>
    <w:rsid w:val="002150C8"/>
    <w:rsid w:val="002162BC"/>
    <w:rsid w:val="002253C4"/>
    <w:rsid w:val="00225B8E"/>
    <w:rsid w:val="0022713A"/>
    <w:rsid w:val="00230674"/>
    <w:rsid w:val="00231749"/>
    <w:rsid w:val="00233D45"/>
    <w:rsid w:val="002413C5"/>
    <w:rsid w:val="00242A20"/>
    <w:rsid w:val="002454F2"/>
    <w:rsid w:val="00252CC0"/>
    <w:rsid w:val="00253FDF"/>
    <w:rsid w:val="00257E78"/>
    <w:rsid w:val="00262F66"/>
    <w:rsid w:val="0026318F"/>
    <w:rsid w:val="0027245E"/>
    <w:rsid w:val="00273E91"/>
    <w:rsid w:val="002747BA"/>
    <w:rsid w:val="00275934"/>
    <w:rsid w:val="00281C5C"/>
    <w:rsid w:val="00283A1A"/>
    <w:rsid w:val="0028597D"/>
    <w:rsid w:val="002923F6"/>
    <w:rsid w:val="00292A92"/>
    <w:rsid w:val="00297004"/>
    <w:rsid w:val="002A631E"/>
    <w:rsid w:val="002B014B"/>
    <w:rsid w:val="002E42A4"/>
    <w:rsid w:val="002F1333"/>
    <w:rsid w:val="002F4892"/>
    <w:rsid w:val="002F53C7"/>
    <w:rsid w:val="002F5F5F"/>
    <w:rsid w:val="003003D2"/>
    <w:rsid w:val="00300B98"/>
    <w:rsid w:val="00304F58"/>
    <w:rsid w:val="00313D18"/>
    <w:rsid w:val="00316628"/>
    <w:rsid w:val="003166A9"/>
    <w:rsid w:val="00323D81"/>
    <w:rsid w:val="00331761"/>
    <w:rsid w:val="003367D0"/>
    <w:rsid w:val="003417ED"/>
    <w:rsid w:val="00342577"/>
    <w:rsid w:val="00344E8C"/>
    <w:rsid w:val="00346F55"/>
    <w:rsid w:val="00351BF7"/>
    <w:rsid w:val="003530C8"/>
    <w:rsid w:val="00354CBC"/>
    <w:rsid w:val="00356A0C"/>
    <w:rsid w:val="00360B31"/>
    <w:rsid w:val="00364265"/>
    <w:rsid w:val="003646C7"/>
    <w:rsid w:val="00370EC1"/>
    <w:rsid w:val="00375DF6"/>
    <w:rsid w:val="003769FB"/>
    <w:rsid w:val="0037728C"/>
    <w:rsid w:val="00380A4D"/>
    <w:rsid w:val="00382672"/>
    <w:rsid w:val="003857BB"/>
    <w:rsid w:val="00387800"/>
    <w:rsid w:val="00394DE6"/>
    <w:rsid w:val="00397E26"/>
    <w:rsid w:val="003A02C9"/>
    <w:rsid w:val="003A4BC0"/>
    <w:rsid w:val="003A50B6"/>
    <w:rsid w:val="003B6F47"/>
    <w:rsid w:val="003C1515"/>
    <w:rsid w:val="003C27F0"/>
    <w:rsid w:val="003C6013"/>
    <w:rsid w:val="003C69AA"/>
    <w:rsid w:val="003C7154"/>
    <w:rsid w:val="003D2A51"/>
    <w:rsid w:val="003D3EBC"/>
    <w:rsid w:val="003D47DF"/>
    <w:rsid w:val="003E056B"/>
    <w:rsid w:val="003E47E8"/>
    <w:rsid w:val="003E4AE4"/>
    <w:rsid w:val="003F1886"/>
    <w:rsid w:val="003F5AA6"/>
    <w:rsid w:val="003F61AD"/>
    <w:rsid w:val="00401E51"/>
    <w:rsid w:val="0040636D"/>
    <w:rsid w:val="0041392B"/>
    <w:rsid w:val="00417A4F"/>
    <w:rsid w:val="0043059E"/>
    <w:rsid w:val="004334B0"/>
    <w:rsid w:val="004357F8"/>
    <w:rsid w:val="00435A52"/>
    <w:rsid w:val="00454CD6"/>
    <w:rsid w:val="00454E3E"/>
    <w:rsid w:val="00455A85"/>
    <w:rsid w:val="00460F67"/>
    <w:rsid w:val="004625A2"/>
    <w:rsid w:val="004652A1"/>
    <w:rsid w:val="00467A6E"/>
    <w:rsid w:val="00471916"/>
    <w:rsid w:val="00471D6C"/>
    <w:rsid w:val="00472E42"/>
    <w:rsid w:val="00473C57"/>
    <w:rsid w:val="00476BFA"/>
    <w:rsid w:val="00481829"/>
    <w:rsid w:val="0049011E"/>
    <w:rsid w:val="004936CC"/>
    <w:rsid w:val="00495429"/>
    <w:rsid w:val="004A23D8"/>
    <w:rsid w:val="004A4BB1"/>
    <w:rsid w:val="004A57FC"/>
    <w:rsid w:val="004B1AC1"/>
    <w:rsid w:val="004B246F"/>
    <w:rsid w:val="004B2C2F"/>
    <w:rsid w:val="004B2E38"/>
    <w:rsid w:val="004B437A"/>
    <w:rsid w:val="004C15F4"/>
    <w:rsid w:val="004C1C54"/>
    <w:rsid w:val="004C2045"/>
    <w:rsid w:val="004C2B1C"/>
    <w:rsid w:val="004C6B20"/>
    <w:rsid w:val="004C7117"/>
    <w:rsid w:val="004C7DEF"/>
    <w:rsid w:val="004D0106"/>
    <w:rsid w:val="004D1C9E"/>
    <w:rsid w:val="004E34DE"/>
    <w:rsid w:val="004E6D57"/>
    <w:rsid w:val="004E73E2"/>
    <w:rsid w:val="004F64CE"/>
    <w:rsid w:val="004F7D09"/>
    <w:rsid w:val="0050073C"/>
    <w:rsid w:val="005026A7"/>
    <w:rsid w:val="00505350"/>
    <w:rsid w:val="00516821"/>
    <w:rsid w:val="00516FBC"/>
    <w:rsid w:val="00521937"/>
    <w:rsid w:val="00525184"/>
    <w:rsid w:val="00526E6E"/>
    <w:rsid w:val="00527CFC"/>
    <w:rsid w:val="00533F3A"/>
    <w:rsid w:val="005370C3"/>
    <w:rsid w:val="00543114"/>
    <w:rsid w:val="005445EF"/>
    <w:rsid w:val="00545BB8"/>
    <w:rsid w:val="0054629A"/>
    <w:rsid w:val="0054658E"/>
    <w:rsid w:val="005479C3"/>
    <w:rsid w:val="005533B1"/>
    <w:rsid w:val="005544EB"/>
    <w:rsid w:val="00554A34"/>
    <w:rsid w:val="0056282D"/>
    <w:rsid w:val="00563D5B"/>
    <w:rsid w:val="00563E5E"/>
    <w:rsid w:val="00573144"/>
    <w:rsid w:val="00574B09"/>
    <w:rsid w:val="0057651B"/>
    <w:rsid w:val="00577118"/>
    <w:rsid w:val="00577DD1"/>
    <w:rsid w:val="0058575B"/>
    <w:rsid w:val="00585840"/>
    <w:rsid w:val="00585BB3"/>
    <w:rsid w:val="0059298B"/>
    <w:rsid w:val="00594DB8"/>
    <w:rsid w:val="00596592"/>
    <w:rsid w:val="00597E06"/>
    <w:rsid w:val="005A16A6"/>
    <w:rsid w:val="005A1B32"/>
    <w:rsid w:val="005A4829"/>
    <w:rsid w:val="005B01DE"/>
    <w:rsid w:val="005B1F21"/>
    <w:rsid w:val="005B6BC3"/>
    <w:rsid w:val="005C065C"/>
    <w:rsid w:val="005C130D"/>
    <w:rsid w:val="005C1AC9"/>
    <w:rsid w:val="005C2612"/>
    <w:rsid w:val="005C7CB0"/>
    <w:rsid w:val="005D17F2"/>
    <w:rsid w:val="005D50F2"/>
    <w:rsid w:val="005E67E7"/>
    <w:rsid w:val="005E68A3"/>
    <w:rsid w:val="005E7AA1"/>
    <w:rsid w:val="005F3ACF"/>
    <w:rsid w:val="005F68A6"/>
    <w:rsid w:val="006054E4"/>
    <w:rsid w:val="006206A8"/>
    <w:rsid w:val="00620B6F"/>
    <w:rsid w:val="006267B3"/>
    <w:rsid w:val="006306F0"/>
    <w:rsid w:val="00632F90"/>
    <w:rsid w:val="00642609"/>
    <w:rsid w:val="00651BCF"/>
    <w:rsid w:val="006524F7"/>
    <w:rsid w:val="00655911"/>
    <w:rsid w:val="00656960"/>
    <w:rsid w:val="00657377"/>
    <w:rsid w:val="00662C30"/>
    <w:rsid w:val="006646F7"/>
    <w:rsid w:val="00665D90"/>
    <w:rsid w:val="00672184"/>
    <w:rsid w:val="00673354"/>
    <w:rsid w:val="00673F55"/>
    <w:rsid w:val="00674D7D"/>
    <w:rsid w:val="006810B3"/>
    <w:rsid w:val="00681E6A"/>
    <w:rsid w:val="006826F1"/>
    <w:rsid w:val="00682FD9"/>
    <w:rsid w:val="00686013"/>
    <w:rsid w:val="006873D2"/>
    <w:rsid w:val="006904E6"/>
    <w:rsid w:val="00691D88"/>
    <w:rsid w:val="006A0E5A"/>
    <w:rsid w:val="006A32BC"/>
    <w:rsid w:val="006A3EE8"/>
    <w:rsid w:val="006A50CD"/>
    <w:rsid w:val="006B1DC0"/>
    <w:rsid w:val="006B2F30"/>
    <w:rsid w:val="006C14C6"/>
    <w:rsid w:val="006C2F87"/>
    <w:rsid w:val="006C505C"/>
    <w:rsid w:val="006C6DD7"/>
    <w:rsid w:val="006D14A9"/>
    <w:rsid w:val="006D7598"/>
    <w:rsid w:val="006E7962"/>
    <w:rsid w:val="006F008C"/>
    <w:rsid w:val="006F05F0"/>
    <w:rsid w:val="006F0668"/>
    <w:rsid w:val="00707206"/>
    <w:rsid w:val="00707210"/>
    <w:rsid w:val="00712467"/>
    <w:rsid w:val="00712B96"/>
    <w:rsid w:val="0071442E"/>
    <w:rsid w:val="007245DB"/>
    <w:rsid w:val="007254F9"/>
    <w:rsid w:val="00727484"/>
    <w:rsid w:val="007312B1"/>
    <w:rsid w:val="00741D2D"/>
    <w:rsid w:val="007443FE"/>
    <w:rsid w:val="00747593"/>
    <w:rsid w:val="00751F00"/>
    <w:rsid w:val="00754C45"/>
    <w:rsid w:val="00762F95"/>
    <w:rsid w:val="007655E8"/>
    <w:rsid w:val="00765DC8"/>
    <w:rsid w:val="00773233"/>
    <w:rsid w:val="00783409"/>
    <w:rsid w:val="00793811"/>
    <w:rsid w:val="00794213"/>
    <w:rsid w:val="00794656"/>
    <w:rsid w:val="007A1F29"/>
    <w:rsid w:val="007A2FB0"/>
    <w:rsid w:val="007A43FD"/>
    <w:rsid w:val="007A64AB"/>
    <w:rsid w:val="007B263B"/>
    <w:rsid w:val="007C2D77"/>
    <w:rsid w:val="007E5059"/>
    <w:rsid w:val="007E5C12"/>
    <w:rsid w:val="007F262D"/>
    <w:rsid w:val="0082111F"/>
    <w:rsid w:val="00826E91"/>
    <w:rsid w:val="0083617E"/>
    <w:rsid w:val="0083732F"/>
    <w:rsid w:val="00841C80"/>
    <w:rsid w:val="00844921"/>
    <w:rsid w:val="00853989"/>
    <w:rsid w:val="00854A24"/>
    <w:rsid w:val="00856A04"/>
    <w:rsid w:val="00857F5E"/>
    <w:rsid w:val="008643C8"/>
    <w:rsid w:val="008645B7"/>
    <w:rsid w:val="008647D5"/>
    <w:rsid w:val="008648A7"/>
    <w:rsid w:val="00866C52"/>
    <w:rsid w:val="00871D0D"/>
    <w:rsid w:val="008813AE"/>
    <w:rsid w:val="00883555"/>
    <w:rsid w:val="008866B8"/>
    <w:rsid w:val="00887E7C"/>
    <w:rsid w:val="00890B5D"/>
    <w:rsid w:val="00892FBF"/>
    <w:rsid w:val="008A12FC"/>
    <w:rsid w:val="008A1C8E"/>
    <w:rsid w:val="008A2F81"/>
    <w:rsid w:val="008A4228"/>
    <w:rsid w:val="008A63FC"/>
    <w:rsid w:val="008A7004"/>
    <w:rsid w:val="008B68BC"/>
    <w:rsid w:val="008C269E"/>
    <w:rsid w:val="008C79F0"/>
    <w:rsid w:val="008D7302"/>
    <w:rsid w:val="008E38BF"/>
    <w:rsid w:val="008E6741"/>
    <w:rsid w:val="008F0B27"/>
    <w:rsid w:val="008F2015"/>
    <w:rsid w:val="008F38A3"/>
    <w:rsid w:val="009038C6"/>
    <w:rsid w:val="00904E13"/>
    <w:rsid w:val="00907264"/>
    <w:rsid w:val="0091057E"/>
    <w:rsid w:val="00914159"/>
    <w:rsid w:val="00916598"/>
    <w:rsid w:val="00924484"/>
    <w:rsid w:val="00924ECA"/>
    <w:rsid w:val="00930233"/>
    <w:rsid w:val="009434F8"/>
    <w:rsid w:val="00946A84"/>
    <w:rsid w:val="00947135"/>
    <w:rsid w:val="00947949"/>
    <w:rsid w:val="00947E5D"/>
    <w:rsid w:val="00952969"/>
    <w:rsid w:val="009529E7"/>
    <w:rsid w:val="009574B7"/>
    <w:rsid w:val="009617F5"/>
    <w:rsid w:val="0096448A"/>
    <w:rsid w:val="00967F8D"/>
    <w:rsid w:val="009725CC"/>
    <w:rsid w:val="00973AE4"/>
    <w:rsid w:val="00982EFF"/>
    <w:rsid w:val="00984C84"/>
    <w:rsid w:val="009977AC"/>
    <w:rsid w:val="009A0682"/>
    <w:rsid w:val="009A0EAC"/>
    <w:rsid w:val="009A26AE"/>
    <w:rsid w:val="009A5044"/>
    <w:rsid w:val="009A547E"/>
    <w:rsid w:val="009A6D68"/>
    <w:rsid w:val="009B00FF"/>
    <w:rsid w:val="009B794A"/>
    <w:rsid w:val="009C3B64"/>
    <w:rsid w:val="009C63CC"/>
    <w:rsid w:val="009D2012"/>
    <w:rsid w:val="009D4569"/>
    <w:rsid w:val="009D471F"/>
    <w:rsid w:val="009D7258"/>
    <w:rsid w:val="009D72F1"/>
    <w:rsid w:val="009E0DF9"/>
    <w:rsid w:val="009E1263"/>
    <w:rsid w:val="009E207E"/>
    <w:rsid w:val="009E31D3"/>
    <w:rsid w:val="009E73FF"/>
    <w:rsid w:val="00A03E97"/>
    <w:rsid w:val="00A05C6C"/>
    <w:rsid w:val="00A05CA6"/>
    <w:rsid w:val="00A06570"/>
    <w:rsid w:val="00A069CB"/>
    <w:rsid w:val="00A071CD"/>
    <w:rsid w:val="00A1331E"/>
    <w:rsid w:val="00A133AF"/>
    <w:rsid w:val="00A166B5"/>
    <w:rsid w:val="00A20435"/>
    <w:rsid w:val="00A21D4F"/>
    <w:rsid w:val="00A235FB"/>
    <w:rsid w:val="00A243F4"/>
    <w:rsid w:val="00A27844"/>
    <w:rsid w:val="00A30833"/>
    <w:rsid w:val="00A3496E"/>
    <w:rsid w:val="00A34FB1"/>
    <w:rsid w:val="00A37BC0"/>
    <w:rsid w:val="00A41693"/>
    <w:rsid w:val="00A431D2"/>
    <w:rsid w:val="00A44B50"/>
    <w:rsid w:val="00A45C4E"/>
    <w:rsid w:val="00A50F82"/>
    <w:rsid w:val="00A57037"/>
    <w:rsid w:val="00A61A48"/>
    <w:rsid w:val="00A65AFA"/>
    <w:rsid w:val="00A66954"/>
    <w:rsid w:val="00A83ADE"/>
    <w:rsid w:val="00A9045E"/>
    <w:rsid w:val="00A931AE"/>
    <w:rsid w:val="00A93939"/>
    <w:rsid w:val="00AA42CE"/>
    <w:rsid w:val="00AA7FD3"/>
    <w:rsid w:val="00AB2D74"/>
    <w:rsid w:val="00AC12AB"/>
    <w:rsid w:val="00AC1BF6"/>
    <w:rsid w:val="00AC6D66"/>
    <w:rsid w:val="00AC73D1"/>
    <w:rsid w:val="00AD1393"/>
    <w:rsid w:val="00AD4AA7"/>
    <w:rsid w:val="00AE138F"/>
    <w:rsid w:val="00AE2959"/>
    <w:rsid w:val="00AE5AC3"/>
    <w:rsid w:val="00AE6057"/>
    <w:rsid w:val="00AE7662"/>
    <w:rsid w:val="00AF69AA"/>
    <w:rsid w:val="00B04C6B"/>
    <w:rsid w:val="00B10D8F"/>
    <w:rsid w:val="00B12345"/>
    <w:rsid w:val="00B155A3"/>
    <w:rsid w:val="00B2016C"/>
    <w:rsid w:val="00B2219D"/>
    <w:rsid w:val="00B22C6F"/>
    <w:rsid w:val="00B257CA"/>
    <w:rsid w:val="00B25D3B"/>
    <w:rsid w:val="00B261ED"/>
    <w:rsid w:val="00B30887"/>
    <w:rsid w:val="00B33E8F"/>
    <w:rsid w:val="00B3438D"/>
    <w:rsid w:val="00B373D9"/>
    <w:rsid w:val="00B44FBE"/>
    <w:rsid w:val="00B478E0"/>
    <w:rsid w:val="00B51293"/>
    <w:rsid w:val="00B53A60"/>
    <w:rsid w:val="00B556A0"/>
    <w:rsid w:val="00B633CA"/>
    <w:rsid w:val="00B64835"/>
    <w:rsid w:val="00B66792"/>
    <w:rsid w:val="00B71629"/>
    <w:rsid w:val="00B72584"/>
    <w:rsid w:val="00B73EFA"/>
    <w:rsid w:val="00B76601"/>
    <w:rsid w:val="00B76F45"/>
    <w:rsid w:val="00B82EE3"/>
    <w:rsid w:val="00B85961"/>
    <w:rsid w:val="00B9289C"/>
    <w:rsid w:val="00B92F61"/>
    <w:rsid w:val="00B94BC4"/>
    <w:rsid w:val="00BA5BBC"/>
    <w:rsid w:val="00BA7582"/>
    <w:rsid w:val="00BB5154"/>
    <w:rsid w:val="00BB7D2D"/>
    <w:rsid w:val="00BC4F11"/>
    <w:rsid w:val="00BD0EDA"/>
    <w:rsid w:val="00BD1568"/>
    <w:rsid w:val="00BD3F16"/>
    <w:rsid w:val="00BD5C30"/>
    <w:rsid w:val="00BD5F00"/>
    <w:rsid w:val="00BD7A9B"/>
    <w:rsid w:val="00BE5C22"/>
    <w:rsid w:val="00BE7816"/>
    <w:rsid w:val="00BF275B"/>
    <w:rsid w:val="00BF2834"/>
    <w:rsid w:val="00BF28FB"/>
    <w:rsid w:val="00BF5092"/>
    <w:rsid w:val="00C01072"/>
    <w:rsid w:val="00C0165D"/>
    <w:rsid w:val="00C02A66"/>
    <w:rsid w:val="00C039F9"/>
    <w:rsid w:val="00C05356"/>
    <w:rsid w:val="00C109E2"/>
    <w:rsid w:val="00C10D0B"/>
    <w:rsid w:val="00C21252"/>
    <w:rsid w:val="00C30024"/>
    <w:rsid w:val="00C30CD6"/>
    <w:rsid w:val="00C3208C"/>
    <w:rsid w:val="00C34D8B"/>
    <w:rsid w:val="00C3686E"/>
    <w:rsid w:val="00C36CB5"/>
    <w:rsid w:val="00C46471"/>
    <w:rsid w:val="00C5231A"/>
    <w:rsid w:val="00C62FA6"/>
    <w:rsid w:val="00C66E18"/>
    <w:rsid w:val="00C66F99"/>
    <w:rsid w:val="00C70275"/>
    <w:rsid w:val="00C7659C"/>
    <w:rsid w:val="00C779F5"/>
    <w:rsid w:val="00C83B0E"/>
    <w:rsid w:val="00C90274"/>
    <w:rsid w:val="00C94449"/>
    <w:rsid w:val="00C94CA7"/>
    <w:rsid w:val="00CA5050"/>
    <w:rsid w:val="00CA7186"/>
    <w:rsid w:val="00CB0D68"/>
    <w:rsid w:val="00CB3EB2"/>
    <w:rsid w:val="00CB44C4"/>
    <w:rsid w:val="00CB7811"/>
    <w:rsid w:val="00CC3439"/>
    <w:rsid w:val="00CC37E7"/>
    <w:rsid w:val="00CD06F8"/>
    <w:rsid w:val="00CD0DC4"/>
    <w:rsid w:val="00CD14E8"/>
    <w:rsid w:val="00CD3BB1"/>
    <w:rsid w:val="00CD6635"/>
    <w:rsid w:val="00CE1A09"/>
    <w:rsid w:val="00CE1E55"/>
    <w:rsid w:val="00CE4E0D"/>
    <w:rsid w:val="00CF0C62"/>
    <w:rsid w:val="00CF0E84"/>
    <w:rsid w:val="00CF2F09"/>
    <w:rsid w:val="00D0177A"/>
    <w:rsid w:val="00D02A82"/>
    <w:rsid w:val="00D1306B"/>
    <w:rsid w:val="00D13DE0"/>
    <w:rsid w:val="00D14769"/>
    <w:rsid w:val="00D210F6"/>
    <w:rsid w:val="00D236EE"/>
    <w:rsid w:val="00D30523"/>
    <w:rsid w:val="00D34F4F"/>
    <w:rsid w:val="00D3783B"/>
    <w:rsid w:val="00D4088E"/>
    <w:rsid w:val="00D45898"/>
    <w:rsid w:val="00D4753B"/>
    <w:rsid w:val="00D50643"/>
    <w:rsid w:val="00D52ADB"/>
    <w:rsid w:val="00D56E7A"/>
    <w:rsid w:val="00D57005"/>
    <w:rsid w:val="00D5785F"/>
    <w:rsid w:val="00D6198D"/>
    <w:rsid w:val="00D717F1"/>
    <w:rsid w:val="00D7203C"/>
    <w:rsid w:val="00D74B26"/>
    <w:rsid w:val="00D74F64"/>
    <w:rsid w:val="00D756C9"/>
    <w:rsid w:val="00D760DF"/>
    <w:rsid w:val="00D76638"/>
    <w:rsid w:val="00D838E2"/>
    <w:rsid w:val="00D86DAD"/>
    <w:rsid w:val="00D9458C"/>
    <w:rsid w:val="00DA02B3"/>
    <w:rsid w:val="00DA1712"/>
    <w:rsid w:val="00DA534C"/>
    <w:rsid w:val="00DA67D3"/>
    <w:rsid w:val="00DA6DE9"/>
    <w:rsid w:val="00DB07F7"/>
    <w:rsid w:val="00DB3C45"/>
    <w:rsid w:val="00DB4462"/>
    <w:rsid w:val="00DC00D2"/>
    <w:rsid w:val="00DC516C"/>
    <w:rsid w:val="00DC611F"/>
    <w:rsid w:val="00DC7760"/>
    <w:rsid w:val="00DD2B0D"/>
    <w:rsid w:val="00DD5A7D"/>
    <w:rsid w:val="00DD5D52"/>
    <w:rsid w:val="00DE4E15"/>
    <w:rsid w:val="00DF0B1C"/>
    <w:rsid w:val="00DF21FF"/>
    <w:rsid w:val="00DF4E6D"/>
    <w:rsid w:val="00E04230"/>
    <w:rsid w:val="00E04B9B"/>
    <w:rsid w:val="00E0617B"/>
    <w:rsid w:val="00E109C6"/>
    <w:rsid w:val="00E13ED6"/>
    <w:rsid w:val="00E148AD"/>
    <w:rsid w:val="00E169EF"/>
    <w:rsid w:val="00E26D90"/>
    <w:rsid w:val="00E27AF6"/>
    <w:rsid w:val="00E31592"/>
    <w:rsid w:val="00E318C0"/>
    <w:rsid w:val="00E32EF2"/>
    <w:rsid w:val="00E34326"/>
    <w:rsid w:val="00E40066"/>
    <w:rsid w:val="00E4158A"/>
    <w:rsid w:val="00E478F5"/>
    <w:rsid w:val="00E516EC"/>
    <w:rsid w:val="00E51869"/>
    <w:rsid w:val="00E51CAB"/>
    <w:rsid w:val="00E55AFC"/>
    <w:rsid w:val="00E572B7"/>
    <w:rsid w:val="00E57FA7"/>
    <w:rsid w:val="00E60A2F"/>
    <w:rsid w:val="00E6219B"/>
    <w:rsid w:val="00E630E1"/>
    <w:rsid w:val="00E63BF6"/>
    <w:rsid w:val="00E70DBD"/>
    <w:rsid w:val="00E71242"/>
    <w:rsid w:val="00E74E0B"/>
    <w:rsid w:val="00E75620"/>
    <w:rsid w:val="00E76527"/>
    <w:rsid w:val="00E81E24"/>
    <w:rsid w:val="00E823A0"/>
    <w:rsid w:val="00E82987"/>
    <w:rsid w:val="00E82DDB"/>
    <w:rsid w:val="00E92697"/>
    <w:rsid w:val="00E9594E"/>
    <w:rsid w:val="00EA1CD8"/>
    <w:rsid w:val="00EA41A3"/>
    <w:rsid w:val="00EA75C9"/>
    <w:rsid w:val="00EB07A2"/>
    <w:rsid w:val="00EB576D"/>
    <w:rsid w:val="00EC1892"/>
    <w:rsid w:val="00EC3728"/>
    <w:rsid w:val="00EC3B16"/>
    <w:rsid w:val="00EC4EA0"/>
    <w:rsid w:val="00ED1DFA"/>
    <w:rsid w:val="00ED4015"/>
    <w:rsid w:val="00ED5811"/>
    <w:rsid w:val="00EE09D7"/>
    <w:rsid w:val="00EE3318"/>
    <w:rsid w:val="00EE558E"/>
    <w:rsid w:val="00EF02E4"/>
    <w:rsid w:val="00EF1102"/>
    <w:rsid w:val="00EF11DD"/>
    <w:rsid w:val="00EF1AE4"/>
    <w:rsid w:val="00EF23B4"/>
    <w:rsid w:val="00EF5170"/>
    <w:rsid w:val="00EF65DB"/>
    <w:rsid w:val="00F00406"/>
    <w:rsid w:val="00F04784"/>
    <w:rsid w:val="00F1193F"/>
    <w:rsid w:val="00F14BCD"/>
    <w:rsid w:val="00F15C2C"/>
    <w:rsid w:val="00F15F5C"/>
    <w:rsid w:val="00F165EE"/>
    <w:rsid w:val="00F20FD1"/>
    <w:rsid w:val="00F245F7"/>
    <w:rsid w:val="00F25A52"/>
    <w:rsid w:val="00F31F79"/>
    <w:rsid w:val="00F3555B"/>
    <w:rsid w:val="00F419FE"/>
    <w:rsid w:val="00F45DD2"/>
    <w:rsid w:val="00F519E2"/>
    <w:rsid w:val="00F62C3C"/>
    <w:rsid w:val="00F633E1"/>
    <w:rsid w:val="00F644FC"/>
    <w:rsid w:val="00F65D27"/>
    <w:rsid w:val="00F67092"/>
    <w:rsid w:val="00F7249B"/>
    <w:rsid w:val="00F76B20"/>
    <w:rsid w:val="00F817E5"/>
    <w:rsid w:val="00F844C5"/>
    <w:rsid w:val="00F87746"/>
    <w:rsid w:val="00F93EFF"/>
    <w:rsid w:val="00F940F2"/>
    <w:rsid w:val="00F94AD7"/>
    <w:rsid w:val="00F96BC4"/>
    <w:rsid w:val="00FA1CEA"/>
    <w:rsid w:val="00FB32FF"/>
    <w:rsid w:val="00FB58AB"/>
    <w:rsid w:val="00FC029B"/>
    <w:rsid w:val="00FC0E51"/>
    <w:rsid w:val="00FC7D81"/>
    <w:rsid w:val="00FD1FAC"/>
    <w:rsid w:val="00FD7DAB"/>
    <w:rsid w:val="00FE12DE"/>
    <w:rsid w:val="00FE2696"/>
    <w:rsid w:val="00FE59EF"/>
    <w:rsid w:val="00FE6F36"/>
    <w:rsid w:val="00FF0D6B"/>
    <w:rsid w:val="00FF2A85"/>
    <w:rsid w:val="0124380C"/>
    <w:rsid w:val="0135C37A"/>
    <w:rsid w:val="021E5D40"/>
    <w:rsid w:val="02529268"/>
    <w:rsid w:val="027BC920"/>
    <w:rsid w:val="0313BAF1"/>
    <w:rsid w:val="03AECF31"/>
    <w:rsid w:val="080D8216"/>
    <w:rsid w:val="08D1EC01"/>
    <w:rsid w:val="0990E3EC"/>
    <w:rsid w:val="09E2AA8A"/>
    <w:rsid w:val="0A2DAF55"/>
    <w:rsid w:val="0DA7CBD2"/>
    <w:rsid w:val="0ECB8F9C"/>
    <w:rsid w:val="0F0F493D"/>
    <w:rsid w:val="0F22EA78"/>
    <w:rsid w:val="0F258163"/>
    <w:rsid w:val="102B6803"/>
    <w:rsid w:val="11BAC091"/>
    <w:rsid w:val="11FE252C"/>
    <w:rsid w:val="1524D14C"/>
    <w:rsid w:val="16D9CA0A"/>
    <w:rsid w:val="16EA5A4C"/>
    <w:rsid w:val="184AB658"/>
    <w:rsid w:val="18A42B84"/>
    <w:rsid w:val="18CAD72D"/>
    <w:rsid w:val="18FD6955"/>
    <w:rsid w:val="196E4B8C"/>
    <w:rsid w:val="19FC1703"/>
    <w:rsid w:val="1AEAD672"/>
    <w:rsid w:val="1CACE6BA"/>
    <w:rsid w:val="1D6A897F"/>
    <w:rsid w:val="1D86AC6F"/>
    <w:rsid w:val="1EE4DBEF"/>
    <w:rsid w:val="206783F3"/>
    <w:rsid w:val="22AF2C59"/>
    <w:rsid w:val="22E0C94A"/>
    <w:rsid w:val="25481833"/>
    <w:rsid w:val="260144BA"/>
    <w:rsid w:val="260594EC"/>
    <w:rsid w:val="26D6C577"/>
    <w:rsid w:val="27F4FA29"/>
    <w:rsid w:val="29BD2209"/>
    <w:rsid w:val="2A169DD4"/>
    <w:rsid w:val="2A46C6A1"/>
    <w:rsid w:val="2C52EE44"/>
    <w:rsid w:val="2E6D2070"/>
    <w:rsid w:val="2EE9C4E2"/>
    <w:rsid w:val="30292AE3"/>
    <w:rsid w:val="30513014"/>
    <w:rsid w:val="31584253"/>
    <w:rsid w:val="316296C2"/>
    <w:rsid w:val="348FE315"/>
    <w:rsid w:val="3543ADF5"/>
    <w:rsid w:val="377DCCB4"/>
    <w:rsid w:val="37CE426D"/>
    <w:rsid w:val="383F6E0B"/>
    <w:rsid w:val="39DE75E9"/>
    <w:rsid w:val="3A6A27AD"/>
    <w:rsid w:val="3AC7DE4F"/>
    <w:rsid w:val="3AFCFA85"/>
    <w:rsid w:val="3B2DD68C"/>
    <w:rsid w:val="3C429A65"/>
    <w:rsid w:val="3E349B47"/>
    <w:rsid w:val="3E36C55B"/>
    <w:rsid w:val="3F45A12A"/>
    <w:rsid w:val="3F974B72"/>
    <w:rsid w:val="411E98DE"/>
    <w:rsid w:val="416E661D"/>
    <w:rsid w:val="4237896E"/>
    <w:rsid w:val="42EFE0D6"/>
    <w:rsid w:val="42FD129F"/>
    <w:rsid w:val="436D3208"/>
    <w:rsid w:val="440CA464"/>
    <w:rsid w:val="4587E8CE"/>
    <w:rsid w:val="46A08E04"/>
    <w:rsid w:val="47C25530"/>
    <w:rsid w:val="47E1C9A9"/>
    <w:rsid w:val="484E3893"/>
    <w:rsid w:val="491B0E54"/>
    <w:rsid w:val="4930D259"/>
    <w:rsid w:val="496C2EA2"/>
    <w:rsid w:val="4A28396E"/>
    <w:rsid w:val="4B24F5B4"/>
    <w:rsid w:val="4BEEA001"/>
    <w:rsid w:val="4DD44000"/>
    <w:rsid w:val="4E3F9FC5"/>
    <w:rsid w:val="4E549824"/>
    <w:rsid w:val="4F66F03C"/>
    <w:rsid w:val="504431F9"/>
    <w:rsid w:val="518C776D"/>
    <w:rsid w:val="519F7E3E"/>
    <w:rsid w:val="54CA3E08"/>
    <w:rsid w:val="555989B8"/>
    <w:rsid w:val="559D83D5"/>
    <w:rsid w:val="56525DFF"/>
    <w:rsid w:val="58A0FC34"/>
    <w:rsid w:val="5993605B"/>
    <w:rsid w:val="59978952"/>
    <w:rsid w:val="5A417B76"/>
    <w:rsid w:val="5A7223E8"/>
    <w:rsid w:val="5D8684B3"/>
    <w:rsid w:val="5F2D469B"/>
    <w:rsid w:val="5F68DC08"/>
    <w:rsid w:val="6038290E"/>
    <w:rsid w:val="61FA3956"/>
    <w:rsid w:val="62FB0E76"/>
    <w:rsid w:val="63C8A0C4"/>
    <w:rsid w:val="64856354"/>
    <w:rsid w:val="653457CA"/>
    <w:rsid w:val="656E28FC"/>
    <w:rsid w:val="65919698"/>
    <w:rsid w:val="65B4D68F"/>
    <w:rsid w:val="6859871B"/>
    <w:rsid w:val="68A5BAF5"/>
    <w:rsid w:val="693C27EA"/>
    <w:rsid w:val="69774643"/>
    <w:rsid w:val="6AA8CFBA"/>
    <w:rsid w:val="6B6F3DF4"/>
    <w:rsid w:val="6BCCA6D1"/>
    <w:rsid w:val="6C36578A"/>
    <w:rsid w:val="6D80B3FC"/>
    <w:rsid w:val="6DE0707C"/>
    <w:rsid w:val="6FC83B3E"/>
    <w:rsid w:val="734804CA"/>
    <w:rsid w:val="73F922A5"/>
    <w:rsid w:val="750DF478"/>
    <w:rsid w:val="7534A678"/>
    <w:rsid w:val="759E1B52"/>
    <w:rsid w:val="75E2DE39"/>
    <w:rsid w:val="765AB6CF"/>
    <w:rsid w:val="7860D51D"/>
    <w:rsid w:val="78EE1ADA"/>
    <w:rsid w:val="7BB56489"/>
    <w:rsid w:val="7D14D673"/>
    <w:rsid w:val="7DC4D167"/>
    <w:rsid w:val="7E9B6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08CA1"/>
  <w15:chartTrackingRefBased/>
  <w15:docId w15:val="{A6CF9936-A8AD-4D3F-B79C-032D730D5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9529E7"/>
    <w:pPr>
      <w:ind w:left="720"/>
      <w:contextualSpacing/>
    </w:pPr>
  </w:style>
  <w:style w:type="character" w:styleId="ui-provider" w:customStyle="1">
    <w:name w:val="ui-provider"/>
    <w:basedOn w:val="DefaultParagraphFont"/>
    <w:rsid w:val="004A4BB1"/>
  </w:style>
  <w:style w:type="character" w:styleId="Hyperlink">
    <w:name w:val="Hyperlink"/>
    <w:basedOn w:val="DefaultParagraphFont"/>
    <w:uiPriority w:val="99"/>
    <w:unhideWhenUsed/>
    <w:rsid w:val="00C05356"/>
    <w:rPr>
      <w:color w:val="0000FF"/>
      <w:u w:val="single"/>
    </w:rPr>
  </w:style>
  <w:style w:type="paragraph" w:styleId="Header">
    <w:name w:val="header"/>
    <w:basedOn w:val="Normal"/>
    <w:link w:val="HeaderChar"/>
    <w:uiPriority w:val="99"/>
    <w:unhideWhenUsed/>
    <w:rsid w:val="0050073C"/>
    <w:pPr>
      <w:tabs>
        <w:tab w:val="center" w:pos="4680"/>
        <w:tab w:val="right" w:pos="9360"/>
      </w:tabs>
      <w:spacing w:after="0" w:line="240" w:lineRule="auto"/>
    </w:pPr>
  </w:style>
  <w:style w:type="character" w:styleId="HeaderChar" w:customStyle="1">
    <w:name w:val="Header Char"/>
    <w:basedOn w:val="DefaultParagraphFont"/>
    <w:link w:val="Header"/>
    <w:uiPriority w:val="99"/>
    <w:rsid w:val="0050073C"/>
  </w:style>
  <w:style w:type="paragraph" w:styleId="Footer">
    <w:name w:val="footer"/>
    <w:basedOn w:val="Normal"/>
    <w:link w:val="FooterChar"/>
    <w:uiPriority w:val="99"/>
    <w:unhideWhenUsed/>
    <w:rsid w:val="0050073C"/>
    <w:pPr>
      <w:tabs>
        <w:tab w:val="center" w:pos="4680"/>
        <w:tab w:val="right" w:pos="9360"/>
      </w:tabs>
      <w:spacing w:after="0" w:line="240" w:lineRule="auto"/>
    </w:pPr>
  </w:style>
  <w:style w:type="character" w:styleId="FooterChar" w:customStyle="1">
    <w:name w:val="Footer Char"/>
    <w:basedOn w:val="DefaultParagraphFont"/>
    <w:link w:val="Footer"/>
    <w:uiPriority w:val="99"/>
    <w:rsid w:val="0050073C"/>
  </w:style>
  <w:style w:type="character" w:styleId="FollowedHyperlink">
    <w:name w:val="FollowedHyperlink"/>
    <w:basedOn w:val="DefaultParagraphFont"/>
    <w:uiPriority w:val="99"/>
    <w:semiHidden/>
    <w:unhideWhenUsed/>
    <w:rsid w:val="008645B7"/>
    <w:rPr>
      <w:color w:val="954F72" w:themeColor="followedHyperlink"/>
      <w:u w:val="single"/>
    </w:rPr>
  </w:style>
  <w:style w:type="paragraph" w:styleId="FootnoteText">
    <w:name w:val="footnote text"/>
    <w:basedOn w:val="Normal"/>
    <w:link w:val="FootnoteTextChar"/>
    <w:uiPriority w:val="99"/>
    <w:semiHidden/>
    <w:unhideWhenUsed/>
    <w:rsid w:val="00E51869"/>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E51869"/>
    <w:rPr>
      <w:sz w:val="20"/>
      <w:szCs w:val="20"/>
    </w:rPr>
  </w:style>
  <w:style w:type="character" w:styleId="FootnoteReference">
    <w:name w:val="footnote reference"/>
    <w:basedOn w:val="DefaultParagraphFont"/>
    <w:uiPriority w:val="99"/>
    <w:semiHidden/>
    <w:unhideWhenUsed/>
    <w:rsid w:val="00E51869"/>
    <w:rPr>
      <w:vertAlign w:val="superscript"/>
    </w:rPr>
  </w:style>
  <w:style w:type="character" w:styleId="UnresolvedMention">
    <w:name w:val="Unresolved Mention"/>
    <w:basedOn w:val="DefaultParagraphFont"/>
    <w:uiPriority w:val="99"/>
    <w:semiHidden/>
    <w:unhideWhenUsed/>
    <w:rsid w:val="00D236EE"/>
    <w:rPr>
      <w:color w:val="605E5C"/>
      <w:shd w:val="clear" w:color="auto" w:fill="E1DFDD"/>
    </w:rPr>
  </w:style>
  <w:style w:type="character" w:styleId="CommentReference">
    <w:name w:val="annotation reference"/>
    <w:basedOn w:val="DefaultParagraphFont"/>
    <w:uiPriority w:val="99"/>
    <w:semiHidden/>
    <w:unhideWhenUsed/>
    <w:rsid w:val="00AD139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footnotes.xml.rels><?xml version="1.0" encoding="UTF-8" standalone="yes"?>
<Relationships xmlns="http://schemas.openxmlformats.org/package/2006/relationships"><Relationship Id="rId3" Type="http://schemas.openxmlformats.org/officeDocument/2006/relationships/hyperlink" Target="https://hbex.coveredca.com/data-research/plan-performance-reports/" TargetMode="External"/><Relationship Id="rId2" Type="http://schemas.openxmlformats.org/officeDocument/2006/relationships/hyperlink" Target="https://jamanetwork.com/journals/jama-health-forum/fullarticle/2799211" TargetMode="External"/><Relationship Id="rId1" Type="http://schemas.openxmlformats.org/officeDocument/2006/relationships/hyperlink" Target="https://www.kff.org/health-costs/poll-finding/public-opinion-on-prescription-drugs-and-their-prices/" TargetMode="External"/><Relationship Id="rId4" Type="http://schemas.openxmlformats.org/officeDocument/2006/relationships/hyperlink" Target="https://hbex.coveredca.com/stakeholders/plan-management/qti/"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fcbdc64-fb5e-454b-b540-ed5cf3fd43e5">
      <Terms xmlns="http://schemas.microsoft.com/office/infopath/2007/PartnerControls"/>
    </lcf76f155ced4ddcb4097134ff3c332f>
    <TaxCatchAll xmlns="8fa3e409-3e36-4187-a85f-77346f72d25c" xsi:nil="true"/>
    <SharedWithUsers xmlns="8fa3e409-3e36-4187-a85f-77346f72d25c">
      <UserInfo>
        <DisplayName>Menashe, Isaac (CoveredCA)</DisplayName>
        <AccountId>14</AccountId>
        <AccountType/>
      </UserInfo>
      <UserInfo>
        <DisplayName>Wolf, Emory (CoveredCA)</DisplayName>
        <AccountId>16</AccountId>
        <AccountType/>
      </UserInfo>
      <UserInfo>
        <DisplayName>Kohn, Emily (CoveredCA)</DisplayName>
        <AccountId>57</AccountId>
        <AccountType/>
      </UserInfo>
      <UserInfo>
        <DisplayName>McKinney, Mike (CoveredCA)</DisplayName>
        <AccountId>13</AccountId>
        <AccountType/>
      </UserInfo>
    </SharedWithUsers>
    <Notes xmlns="9fcbdc64-fb5e-454b-b540-ed5cf3fd43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17" ma:contentTypeDescription="Create a new document." ma:contentTypeScope="" ma:versionID="a76c62aaaa96dc0e1347b709a104b1f9">
  <xsd:schema xmlns:xsd="http://www.w3.org/2001/XMLSchema" xmlns:xs="http://www.w3.org/2001/XMLSchema" xmlns:p="http://schemas.microsoft.com/office/2006/metadata/properties" xmlns:ns2="8fa3e409-3e36-4187-a85f-77346f72d25c" xmlns:ns3="9fcbdc64-fb5e-454b-b540-ed5cf3fd43e5" targetNamespace="http://schemas.microsoft.com/office/2006/metadata/properties" ma:root="true" ma:fieldsID="cdcfa57e761bf40aeac3c5dbc4def08c" ns2:_="" ns3:_="">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BBFC0-FDAA-4EB9-AB48-863856F2AD43}">
  <ds:schemaRefs>
    <ds:schemaRef ds:uri="http://schemas.microsoft.com/sharepoint/v3/contenttype/forms"/>
  </ds:schemaRefs>
</ds:datastoreItem>
</file>

<file path=customXml/itemProps2.xml><?xml version="1.0" encoding="utf-8"?>
<ds:datastoreItem xmlns:ds="http://schemas.openxmlformats.org/officeDocument/2006/customXml" ds:itemID="{4A5463ED-F1BD-4CDC-B9BF-75A18CDC4F2E}">
  <ds:schemaRefs>
    <ds:schemaRef ds:uri="http://schemas.microsoft.com/office/2006/metadata/properties"/>
    <ds:schemaRef ds:uri="http://schemas.microsoft.com/office/infopath/2007/PartnerControls"/>
    <ds:schemaRef ds:uri="9fcbdc64-fb5e-454b-b540-ed5cf3fd43e5"/>
    <ds:schemaRef ds:uri="8fa3e409-3e36-4187-a85f-77346f72d25c"/>
  </ds:schemaRefs>
</ds:datastoreItem>
</file>

<file path=customXml/itemProps3.xml><?xml version="1.0" encoding="utf-8"?>
<ds:datastoreItem xmlns:ds="http://schemas.openxmlformats.org/officeDocument/2006/customXml" ds:itemID="{F7AB3877-F78D-449F-B28D-185E8E133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a3e409-3e36-4187-a85f-77346f72d25c"/>
    <ds:schemaRef ds:uri="9fcbdc64-fb5e-454b-b540-ed5cf3fd4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23E4EB-E497-9540-9878-0024E198C99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Use Case - PMD A2 (Pharmacy Analytics)</dc:title>
  <dc:subject>Healthcare Evidence Initiative (HEI) 3.0</dc:subject>
  <dc:creator>Covered California</dc:creator>
  <keywords>HEI 3.0; PMD; UC PMD A2</keywords>
  <dc:description/>
  <lastModifiedBy>Depoy, Charles (CoveredCA)</lastModifiedBy>
  <revision>267</revision>
  <dcterms:created xsi:type="dcterms:W3CDTF">2024-03-05T23:48:00.0000000Z</dcterms:created>
  <dcterms:modified xsi:type="dcterms:W3CDTF">2025-09-17T17:32:54.1203807Z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2024-01-17T18:31:38Z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88fda6cd-f340-4636-9f4c-30998b4534fb</vt:lpwstr>
  </property>
  <property fmtid="{D5CDD505-2E9C-101B-9397-08002B2CF9AE}" pid="8" name="MSIP_Label_1b8fe692-65eb-452b-9080-c3b135e23679_ContentBits">
    <vt:lpwstr>0</vt:lpwstr>
  </property>
  <property fmtid="{D5CDD505-2E9C-101B-9397-08002B2CF9AE}" pid="9" name="ContentTypeId">
    <vt:lpwstr>0x010100D24BF08DABFAC94E91864D3E3D04624A</vt:lpwstr>
  </property>
  <property fmtid="{D5CDD505-2E9C-101B-9397-08002B2CF9AE}" pid="10" name="MediaServiceImageTags">
    <vt:lpwstr/>
  </property>
</Properties>
</file>